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89" w:rsidRPr="00AA4B1F" w:rsidRDefault="00FE4B89" w:rsidP="00FE4B89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A4B1F">
        <w:rPr>
          <w:rFonts w:ascii="仿宋" w:eastAsia="仿宋" w:hAnsi="仿宋" w:hint="eastAsia"/>
          <w:sz w:val="32"/>
          <w:szCs w:val="32"/>
        </w:rPr>
        <w:t>附件2：</w:t>
      </w:r>
      <w:bookmarkStart w:id="0" w:name="_GoBack"/>
      <w:bookmarkEnd w:id="0"/>
    </w:p>
    <w:p w:rsidR="00FE4B89" w:rsidRPr="00AA4B1F" w:rsidRDefault="00FE4B89" w:rsidP="00FE4B89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 w:rsidRPr="00AA4B1F">
        <w:rPr>
          <w:rFonts w:ascii="仿宋" w:eastAsia="仿宋" w:hAnsi="仿宋" w:hint="eastAsia"/>
          <w:sz w:val="32"/>
          <w:szCs w:val="32"/>
        </w:rPr>
        <w:t>《标准化图集》等资料发放表</w:t>
      </w:r>
    </w:p>
    <w:p w:rsidR="00FE4B89" w:rsidRDefault="00FE4B89" w:rsidP="00FE4B89">
      <w:pPr>
        <w:spacing w:line="220" w:lineRule="atLeast"/>
        <w:rPr>
          <w:rFonts w:ascii="仿宋" w:eastAsia="仿宋" w:hAnsi="仿宋"/>
          <w:sz w:val="24"/>
          <w:szCs w:val="24"/>
        </w:rPr>
      </w:pPr>
    </w:p>
    <w:p w:rsidR="00FE4B89" w:rsidRPr="00AA4B1F" w:rsidRDefault="00FE4B89" w:rsidP="00FE4B89">
      <w:pPr>
        <w:spacing w:line="220" w:lineRule="atLeast"/>
        <w:rPr>
          <w:rFonts w:ascii="仿宋" w:eastAsia="仿宋" w:hAnsi="仿宋"/>
          <w:sz w:val="24"/>
          <w:szCs w:val="24"/>
        </w:rPr>
      </w:pPr>
      <w:r w:rsidRPr="00AA4B1F">
        <w:rPr>
          <w:rFonts w:ascii="仿宋" w:eastAsia="仿宋" w:hAnsi="仿宋" w:hint="eastAsia"/>
          <w:sz w:val="24"/>
          <w:szCs w:val="24"/>
        </w:rPr>
        <w:t>公司名称：</w:t>
      </w:r>
      <w:r w:rsidRPr="00AA4B1F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</w:t>
      </w:r>
      <w:r w:rsidRPr="00AA4B1F">
        <w:rPr>
          <w:rFonts w:ascii="仿宋" w:eastAsia="仿宋" w:hAnsi="仿宋" w:hint="eastAsia"/>
          <w:sz w:val="24"/>
          <w:szCs w:val="24"/>
        </w:rPr>
        <w:t xml:space="preserve">  （ 主项资质等级：</w:t>
      </w:r>
      <w:r w:rsidRPr="00AA4B1F">
        <w:rPr>
          <w:rFonts w:ascii="仿宋" w:eastAsia="仿宋" w:hAnsi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AA4B1F">
        <w:rPr>
          <w:rFonts w:ascii="仿宋" w:eastAsia="仿宋" w:hAnsi="仿宋" w:hint="eastAsia"/>
          <w:sz w:val="24"/>
          <w:szCs w:val="24"/>
        </w:rPr>
        <w:t xml:space="preserve"> ）   </w:t>
      </w:r>
    </w:p>
    <w:p w:rsidR="00FE4B89" w:rsidRPr="00AA4B1F" w:rsidRDefault="00FE4B89" w:rsidP="00FE4B89">
      <w:pPr>
        <w:spacing w:line="220" w:lineRule="atLeast"/>
        <w:rPr>
          <w:rFonts w:ascii="仿宋" w:eastAsia="仿宋" w:hAnsi="仿宋"/>
          <w:sz w:val="24"/>
          <w:szCs w:val="24"/>
        </w:rPr>
      </w:pPr>
      <w:r w:rsidRPr="00AA4B1F">
        <w:rPr>
          <w:rFonts w:ascii="仿宋" w:eastAsia="仿宋" w:hAnsi="仿宋" w:hint="eastAsia"/>
          <w:sz w:val="24"/>
          <w:szCs w:val="24"/>
        </w:rPr>
        <w:t>联系人：</w:t>
      </w:r>
      <w:r w:rsidRPr="00AA4B1F"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  <w:r w:rsidRPr="00AA4B1F">
        <w:rPr>
          <w:rFonts w:ascii="仿宋" w:eastAsia="仿宋" w:hAnsi="仿宋" w:hint="eastAsia"/>
          <w:sz w:val="24"/>
          <w:szCs w:val="24"/>
        </w:rPr>
        <w:t xml:space="preserve">                       联系电话：</w:t>
      </w:r>
      <w:r w:rsidRPr="00AA4B1F"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AA4B1F">
        <w:rPr>
          <w:rFonts w:ascii="仿宋" w:eastAsia="仿宋" w:hAnsi="仿宋" w:hint="eastAsia"/>
          <w:sz w:val="24"/>
          <w:szCs w:val="24"/>
        </w:rPr>
        <w:t xml:space="preserve">       填表日期：</w:t>
      </w:r>
      <w:r w:rsidRPr="00AA4B1F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AA4B1F">
        <w:rPr>
          <w:rFonts w:ascii="仿宋" w:eastAsia="仿宋" w:hAnsi="仿宋" w:hint="eastAsia"/>
          <w:sz w:val="24"/>
          <w:szCs w:val="24"/>
        </w:rPr>
        <w:t xml:space="preserve"> 年</w:t>
      </w:r>
      <w:r w:rsidRPr="00AA4B1F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AA4B1F">
        <w:rPr>
          <w:rFonts w:ascii="仿宋" w:eastAsia="仿宋" w:hAnsi="仿宋" w:hint="eastAsia"/>
          <w:sz w:val="24"/>
          <w:szCs w:val="24"/>
        </w:rPr>
        <w:t>月</w:t>
      </w:r>
      <w:r w:rsidRPr="00AA4B1F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AA4B1F"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07"/>
        <w:gridCol w:w="3181"/>
        <w:gridCol w:w="1559"/>
        <w:gridCol w:w="3118"/>
        <w:gridCol w:w="1592"/>
      </w:tblGrid>
      <w:tr w:rsidR="00FE4B89" w:rsidRPr="00AA4B1F" w:rsidTr="006431F8">
        <w:trPr>
          <w:trHeight w:val="444"/>
          <w:jc w:val="center"/>
        </w:trPr>
        <w:tc>
          <w:tcPr>
            <w:tcW w:w="81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90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3181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需求情况（在对应处打√）</w:t>
            </w:r>
          </w:p>
        </w:tc>
        <w:tc>
          <w:tcPr>
            <w:tcW w:w="1559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数量（本）</w:t>
            </w:r>
          </w:p>
        </w:tc>
        <w:tc>
          <w:tcPr>
            <w:tcW w:w="3118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领取情况（质</w:t>
            </w:r>
            <w:proofErr w:type="gramStart"/>
            <w:r w:rsidRPr="00AA4B1F">
              <w:rPr>
                <w:rFonts w:ascii="仿宋" w:eastAsia="仿宋" w:hAnsi="仿宋" w:hint="eastAsia"/>
                <w:sz w:val="24"/>
                <w:szCs w:val="24"/>
              </w:rPr>
              <w:t>安协会</w:t>
            </w:r>
            <w:proofErr w:type="gramEnd"/>
            <w:r w:rsidRPr="00AA4B1F">
              <w:rPr>
                <w:rFonts w:ascii="仿宋" w:eastAsia="仿宋" w:hAnsi="仿宋" w:hint="eastAsia"/>
                <w:sz w:val="24"/>
                <w:szCs w:val="24"/>
              </w:rPr>
              <w:t>填写）</w:t>
            </w:r>
          </w:p>
        </w:tc>
        <w:tc>
          <w:tcPr>
            <w:tcW w:w="1592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FE4B89" w:rsidRPr="00AA4B1F" w:rsidTr="006431F8">
        <w:trPr>
          <w:trHeight w:val="836"/>
          <w:jc w:val="center"/>
        </w:trPr>
        <w:tc>
          <w:tcPr>
            <w:tcW w:w="81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E4B89" w:rsidRPr="00AA4B1F" w:rsidRDefault="00FE4B89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南宁市建设工程质量安全管理标准化图集（强制性行业标准——2018）</w:t>
            </w:r>
          </w:p>
        </w:tc>
        <w:tc>
          <w:tcPr>
            <w:tcW w:w="3181" w:type="dxa"/>
            <w:vAlign w:val="center"/>
          </w:tcPr>
          <w:p w:rsidR="00FE4B89" w:rsidRPr="00AA4B1F" w:rsidRDefault="00FE4B89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89" w:rsidRPr="00AA4B1F" w:rsidRDefault="000A5AA3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26" style="position:absolute;left:0;text-align:left;margin-left:36.1pt;margin-top:2.2pt;width:12.75pt;height:10.5pt;z-index:251660288"/>
              </w:pic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27" style="position:absolute;left:0;text-align:left;margin-left:96.15pt;margin-top:1.95pt;width:12.75pt;height:10.5pt;z-index:251661312"/>
              </w:pict>
            </w:r>
            <w:r w:rsidR="00FE4B89" w:rsidRPr="00AA4B1F">
              <w:rPr>
                <w:rFonts w:ascii="仿宋" w:eastAsia="仿宋" w:hAnsi="仿宋" w:hint="eastAsia"/>
                <w:sz w:val="24"/>
                <w:szCs w:val="24"/>
              </w:rPr>
              <w:t>是        否</w:t>
            </w:r>
          </w:p>
        </w:tc>
        <w:tc>
          <w:tcPr>
            <w:tcW w:w="1559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89" w:rsidRPr="00AA4B1F" w:rsidTr="006431F8">
        <w:trPr>
          <w:trHeight w:val="476"/>
          <w:jc w:val="center"/>
        </w:trPr>
        <w:tc>
          <w:tcPr>
            <w:tcW w:w="81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工程总承包政策文件汇编</w:t>
            </w:r>
          </w:p>
        </w:tc>
        <w:tc>
          <w:tcPr>
            <w:tcW w:w="3181" w:type="dxa"/>
            <w:vAlign w:val="center"/>
          </w:tcPr>
          <w:p w:rsidR="00FE4B89" w:rsidRPr="00AA4B1F" w:rsidRDefault="00FE4B89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89" w:rsidRPr="00AA4B1F" w:rsidRDefault="000A5AA3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28" style="position:absolute;left:0;text-align:left;margin-left:36.1pt;margin-top:2.2pt;width:12.75pt;height:10.5pt;z-index:251662336"/>
              </w:pic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29" style="position:absolute;left:0;text-align:left;margin-left:96.15pt;margin-top:1.95pt;width:12.75pt;height:10.5pt;z-index:251663360"/>
              </w:pict>
            </w:r>
            <w:r w:rsidR="00FE4B89" w:rsidRPr="00AA4B1F">
              <w:rPr>
                <w:rFonts w:ascii="仿宋" w:eastAsia="仿宋" w:hAnsi="仿宋" w:hint="eastAsia"/>
                <w:sz w:val="24"/>
                <w:szCs w:val="24"/>
              </w:rPr>
              <w:t>是        否</w:t>
            </w:r>
          </w:p>
        </w:tc>
        <w:tc>
          <w:tcPr>
            <w:tcW w:w="1559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89" w:rsidRPr="00AA4B1F" w:rsidTr="006431F8">
        <w:trPr>
          <w:trHeight w:val="559"/>
          <w:jc w:val="center"/>
        </w:trPr>
        <w:tc>
          <w:tcPr>
            <w:tcW w:w="81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最高人民法院建设工程案例判例研究---工程审计与结算 专题</w:t>
            </w:r>
          </w:p>
        </w:tc>
        <w:tc>
          <w:tcPr>
            <w:tcW w:w="3181" w:type="dxa"/>
            <w:vAlign w:val="center"/>
          </w:tcPr>
          <w:p w:rsidR="00FE4B89" w:rsidRPr="00AA4B1F" w:rsidRDefault="00FE4B89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89" w:rsidRPr="00AA4B1F" w:rsidRDefault="000A5AA3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30" style="position:absolute;left:0;text-align:left;margin-left:36.1pt;margin-top:2.2pt;width:12.75pt;height:10.5pt;z-index:251664384"/>
              </w:pic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31" style="position:absolute;left:0;text-align:left;margin-left:96.15pt;margin-top:1.95pt;width:12.75pt;height:10.5pt;z-index:251665408"/>
              </w:pict>
            </w:r>
            <w:r w:rsidR="00FE4B89" w:rsidRPr="00AA4B1F">
              <w:rPr>
                <w:rFonts w:ascii="仿宋" w:eastAsia="仿宋" w:hAnsi="仿宋" w:hint="eastAsia"/>
                <w:sz w:val="24"/>
                <w:szCs w:val="24"/>
              </w:rPr>
              <w:t>是        否</w:t>
            </w:r>
          </w:p>
        </w:tc>
        <w:tc>
          <w:tcPr>
            <w:tcW w:w="1559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89" w:rsidRPr="00AA4B1F" w:rsidTr="006431F8">
        <w:trPr>
          <w:trHeight w:val="581"/>
          <w:jc w:val="center"/>
        </w:trPr>
        <w:tc>
          <w:tcPr>
            <w:tcW w:w="81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最高人民法院建设工程案例判例研究---工程价款优先受偿 专题</w:t>
            </w:r>
          </w:p>
        </w:tc>
        <w:tc>
          <w:tcPr>
            <w:tcW w:w="3181" w:type="dxa"/>
            <w:vAlign w:val="center"/>
          </w:tcPr>
          <w:p w:rsidR="00FE4B89" w:rsidRPr="00AA4B1F" w:rsidRDefault="00FE4B89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89" w:rsidRPr="00AA4B1F" w:rsidRDefault="000A5AA3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32" style="position:absolute;left:0;text-align:left;margin-left:36.1pt;margin-top:2.2pt;width:12.75pt;height:10.5pt;z-index:251666432"/>
              </w:pic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33" style="position:absolute;left:0;text-align:left;margin-left:96.15pt;margin-top:1.95pt;width:12.75pt;height:10.5pt;z-index:251667456"/>
              </w:pict>
            </w:r>
            <w:r w:rsidR="00FE4B89" w:rsidRPr="00AA4B1F">
              <w:rPr>
                <w:rFonts w:ascii="仿宋" w:eastAsia="仿宋" w:hAnsi="仿宋" w:hint="eastAsia"/>
                <w:sz w:val="24"/>
                <w:szCs w:val="24"/>
              </w:rPr>
              <w:t>是        否</w:t>
            </w:r>
          </w:p>
        </w:tc>
        <w:tc>
          <w:tcPr>
            <w:tcW w:w="1559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89" w:rsidRPr="00AA4B1F" w:rsidTr="006431F8">
        <w:trPr>
          <w:trHeight w:val="851"/>
          <w:jc w:val="center"/>
        </w:trPr>
        <w:tc>
          <w:tcPr>
            <w:tcW w:w="81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4B1F">
              <w:rPr>
                <w:rFonts w:ascii="仿宋" w:eastAsia="仿宋" w:hAnsi="仿宋" w:hint="eastAsia"/>
                <w:sz w:val="24"/>
                <w:szCs w:val="24"/>
              </w:rPr>
              <w:t>最高人民法院建设工程案例判例研究---面对材料价格大幅上涨承包人的应对策略 专题</w:t>
            </w:r>
          </w:p>
        </w:tc>
        <w:tc>
          <w:tcPr>
            <w:tcW w:w="3181" w:type="dxa"/>
            <w:vAlign w:val="center"/>
          </w:tcPr>
          <w:p w:rsidR="00FE4B89" w:rsidRPr="00AA4B1F" w:rsidRDefault="00FE4B89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89" w:rsidRPr="00AA4B1F" w:rsidRDefault="000A5AA3" w:rsidP="006431F8">
            <w:pPr>
              <w:spacing w:line="220" w:lineRule="atLeas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34" style="position:absolute;left:0;text-align:left;margin-left:36.1pt;margin-top:2.2pt;width:12.75pt;height:10.5pt;z-index:251668480"/>
              </w:pic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rect id="_x0000_s1035" style="position:absolute;left:0;text-align:left;margin-left:96.15pt;margin-top:1.95pt;width:12.75pt;height:10.5pt;z-index:251669504"/>
              </w:pict>
            </w:r>
            <w:r w:rsidR="00FE4B89" w:rsidRPr="00AA4B1F">
              <w:rPr>
                <w:rFonts w:ascii="仿宋" w:eastAsia="仿宋" w:hAnsi="仿宋" w:hint="eastAsia"/>
                <w:sz w:val="24"/>
                <w:szCs w:val="24"/>
              </w:rPr>
              <w:t>是        否</w:t>
            </w:r>
          </w:p>
        </w:tc>
        <w:tc>
          <w:tcPr>
            <w:tcW w:w="1559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89" w:rsidRPr="00AA4B1F" w:rsidRDefault="00FE4B89" w:rsidP="006431F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E4B89" w:rsidRPr="00AA4B1F" w:rsidRDefault="00FE4B89" w:rsidP="00FE4B89">
      <w:pPr>
        <w:spacing w:after="0" w:line="340" w:lineRule="exact"/>
        <w:rPr>
          <w:rFonts w:ascii="仿宋" w:eastAsia="仿宋" w:hAnsi="仿宋"/>
          <w:sz w:val="24"/>
          <w:szCs w:val="24"/>
        </w:rPr>
      </w:pPr>
      <w:r w:rsidRPr="00AA4B1F">
        <w:rPr>
          <w:rFonts w:ascii="仿宋" w:eastAsia="仿宋" w:hAnsi="仿宋" w:hint="eastAsia"/>
          <w:sz w:val="24"/>
          <w:szCs w:val="24"/>
        </w:rPr>
        <w:t>说明：</w:t>
      </w:r>
    </w:p>
    <w:p w:rsidR="00FE4B89" w:rsidRPr="00AA4B1F" w:rsidRDefault="00FE4B89" w:rsidP="00FE4B89">
      <w:pPr>
        <w:spacing w:after="0" w:line="340" w:lineRule="exact"/>
        <w:rPr>
          <w:rFonts w:ascii="仿宋" w:eastAsia="仿宋" w:hAnsi="仿宋"/>
          <w:sz w:val="24"/>
          <w:szCs w:val="24"/>
        </w:rPr>
      </w:pPr>
      <w:r w:rsidRPr="00AA4B1F">
        <w:rPr>
          <w:rFonts w:ascii="仿宋" w:eastAsia="仿宋" w:hAnsi="仿宋" w:hint="eastAsia"/>
          <w:sz w:val="24"/>
          <w:szCs w:val="24"/>
        </w:rPr>
        <w:t>1.领取数量（上限）：会长单位</w:t>
      </w:r>
      <w:r>
        <w:rPr>
          <w:rFonts w:ascii="仿宋" w:eastAsia="仿宋" w:hAnsi="仿宋" w:hint="eastAsia"/>
          <w:sz w:val="24"/>
          <w:szCs w:val="24"/>
        </w:rPr>
        <w:t>,</w:t>
      </w:r>
      <w:r w:rsidRPr="00AA4B1F">
        <w:rPr>
          <w:rFonts w:ascii="仿宋" w:eastAsia="仿宋" w:hAnsi="仿宋" w:hint="eastAsia"/>
          <w:sz w:val="24"/>
          <w:szCs w:val="24"/>
        </w:rPr>
        <w:t>各10本；副会长单位</w:t>
      </w:r>
      <w:r>
        <w:rPr>
          <w:rFonts w:ascii="仿宋" w:eastAsia="仿宋" w:hAnsi="仿宋" w:hint="eastAsia"/>
          <w:sz w:val="24"/>
          <w:szCs w:val="24"/>
        </w:rPr>
        <w:t>,</w:t>
      </w:r>
      <w:r w:rsidRPr="00AA4B1F">
        <w:rPr>
          <w:rFonts w:ascii="仿宋" w:eastAsia="仿宋" w:hAnsi="仿宋" w:hint="eastAsia"/>
          <w:sz w:val="24"/>
          <w:szCs w:val="24"/>
        </w:rPr>
        <w:t>各8本；施工总承包一级</w:t>
      </w:r>
      <w:r>
        <w:rPr>
          <w:rFonts w:ascii="仿宋" w:eastAsia="仿宋" w:hAnsi="仿宋" w:hint="eastAsia"/>
          <w:sz w:val="24"/>
          <w:szCs w:val="24"/>
        </w:rPr>
        <w:t>,</w:t>
      </w:r>
      <w:r w:rsidRPr="00AA4B1F">
        <w:rPr>
          <w:rFonts w:ascii="仿宋" w:eastAsia="仿宋" w:hAnsi="仿宋" w:hint="eastAsia"/>
          <w:sz w:val="24"/>
          <w:szCs w:val="24"/>
        </w:rPr>
        <w:t>各5本；施工总承包二级，监理、勘察设计乙级及以上</w:t>
      </w:r>
      <w:r>
        <w:rPr>
          <w:rFonts w:ascii="仿宋" w:eastAsia="仿宋" w:hAnsi="仿宋" w:hint="eastAsia"/>
          <w:sz w:val="24"/>
          <w:szCs w:val="24"/>
        </w:rPr>
        <w:t>,</w:t>
      </w:r>
      <w:r w:rsidRPr="00AA4B1F">
        <w:rPr>
          <w:rFonts w:ascii="仿宋" w:eastAsia="仿宋" w:hAnsi="仿宋" w:hint="eastAsia"/>
          <w:sz w:val="24"/>
          <w:szCs w:val="24"/>
        </w:rPr>
        <w:t>各3本；施工总承包三级及其他</w:t>
      </w:r>
      <w:r>
        <w:rPr>
          <w:rFonts w:ascii="仿宋" w:eastAsia="仿宋" w:hAnsi="仿宋" w:hint="eastAsia"/>
          <w:sz w:val="24"/>
          <w:szCs w:val="24"/>
        </w:rPr>
        <w:t>,</w:t>
      </w:r>
      <w:r w:rsidRPr="00AA4B1F">
        <w:rPr>
          <w:rFonts w:ascii="仿宋" w:eastAsia="仿宋" w:hAnsi="仿宋" w:hint="eastAsia"/>
          <w:sz w:val="24"/>
          <w:szCs w:val="24"/>
        </w:rPr>
        <w:t>各2本。</w:t>
      </w:r>
    </w:p>
    <w:p w:rsidR="00FE4B89" w:rsidRPr="00AA4B1F" w:rsidRDefault="00FE4B89" w:rsidP="00FE4B89">
      <w:pPr>
        <w:spacing w:after="0" w:line="340" w:lineRule="exact"/>
        <w:rPr>
          <w:rFonts w:ascii="仿宋" w:eastAsia="仿宋" w:hAnsi="仿宋"/>
          <w:sz w:val="24"/>
          <w:szCs w:val="24"/>
        </w:rPr>
      </w:pPr>
      <w:r w:rsidRPr="00AA4B1F">
        <w:rPr>
          <w:rFonts w:ascii="仿宋" w:eastAsia="仿宋" w:hAnsi="仿宋" w:hint="eastAsia"/>
          <w:sz w:val="24"/>
          <w:szCs w:val="24"/>
        </w:rPr>
        <w:t>2.请于8月15日前将此表发到邮箱（</w:t>
      </w:r>
      <w:hyperlink r:id="rId7" w:history="1">
        <w:r w:rsidRPr="00AA4B1F">
          <w:rPr>
            <w:rStyle w:val="a5"/>
            <w:rFonts w:ascii="仿宋" w:eastAsia="仿宋" w:hAnsi="仿宋" w:hint="eastAsia"/>
            <w:sz w:val="24"/>
            <w:szCs w:val="24"/>
          </w:rPr>
          <w:t>nnjzax@126.com</w:t>
        </w:r>
      </w:hyperlink>
      <w:r w:rsidRPr="00AA4B1F">
        <w:rPr>
          <w:rFonts w:ascii="仿宋" w:eastAsia="仿宋" w:hAnsi="仿宋" w:hint="eastAsia"/>
          <w:sz w:val="24"/>
          <w:szCs w:val="24"/>
        </w:rPr>
        <w:t>），逾期不报将不能领取；表格命名为“公司名称+发放表”。</w:t>
      </w:r>
    </w:p>
    <w:p w:rsidR="00FE4B89" w:rsidRPr="00AA4B1F" w:rsidRDefault="00FE4B89" w:rsidP="00FE4B89">
      <w:pPr>
        <w:spacing w:after="0" w:line="340" w:lineRule="exact"/>
        <w:rPr>
          <w:rFonts w:ascii="仿宋" w:eastAsia="仿宋" w:hAnsi="仿宋"/>
          <w:sz w:val="24"/>
          <w:szCs w:val="24"/>
        </w:rPr>
      </w:pPr>
      <w:r w:rsidRPr="00AA4B1F">
        <w:rPr>
          <w:rFonts w:ascii="仿宋" w:eastAsia="仿宋" w:hAnsi="仿宋" w:hint="eastAsia"/>
          <w:sz w:val="24"/>
          <w:szCs w:val="24"/>
        </w:rPr>
        <w:t>3.请领取人带上身份证原件，如领取人不是联系人，请带上身份证原件及复印件。</w:t>
      </w:r>
      <w:r w:rsidRPr="00AA4B1F">
        <w:rPr>
          <w:rFonts w:ascii="仿宋" w:eastAsia="仿宋" w:hAnsi="仿宋"/>
          <w:sz w:val="24"/>
          <w:szCs w:val="24"/>
        </w:rPr>
        <w:tab/>
      </w:r>
    </w:p>
    <w:p w:rsidR="004358AB" w:rsidRDefault="004358AB" w:rsidP="00D31D50">
      <w:pPr>
        <w:spacing w:line="220" w:lineRule="atLeast"/>
      </w:pPr>
    </w:p>
    <w:sectPr w:rsidR="004358AB" w:rsidSect="001024A3">
      <w:footerReference w:type="first" r:id="rId8"/>
      <w:pgSz w:w="16838" w:h="11906" w:orient="landscape" w:code="9"/>
      <w:pgMar w:top="1134" w:right="1440" w:bottom="1134" w:left="1440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A3" w:rsidRDefault="000A5AA3" w:rsidP="00FE4B89">
      <w:pPr>
        <w:spacing w:after="0"/>
      </w:pPr>
      <w:r>
        <w:separator/>
      </w:r>
    </w:p>
  </w:endnote>
  <w:endnote w:type="continuationSeparator" w:id="0">
    <w:p w:rsidR="000A5AA3" w:rsidRDefault="000A5AA3" w:rsidP="00FE4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FC" w:rsidRDefault="00F503FC" w:rsidP="00F503FC">
    <w:pPr>
      <w:pStyle w:val="a4"/>
      <w:ind w:firstLineChars="4600" w:firstLine="12880"/>
    </w:pPr>
    <w:r w:rsidRPr="006451BD">
      <w:rPr>
        <w:rFonts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 w:hint="eastAsia"/>
        <w:sz w:val="28"/>
        <w:szCs w:val="28"/>
      </w:rPr>
      <w:t xml:space="preserve">3 </w:t>
    </w:r>
    <w:r w:rsidRPr="006451BD">
      <w:rPr>
        <w:rFonts w:asciiTheme="minorEastAsia" w:hAnsiTheme="minor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A3" w:rsidRDefault="000A5AA3" w:rsidP="00FE4B89">
      <w:pPr>
        <w:spacing w:after="0"/>
      </w:pPr>
      <w:r>
        <w:separator/>
      </w:r>
    </w:p>
  </w:footnote>
  <w:footnote w:type="continuationSeparator" w:id="0">
    <w:p w:rsidR="000A5AA3" w:rsidRDefault="000A5AA3" w:rsidP="00FE4B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5AA3"/>
    <w:rsid w:val="001024A3"/>
    <w:rsid w:val="001A0FAC"/>
    <w:rsid w:val="00323B43"/>
    <w:rsid w:val="003C2642"/>
    <w:rsid w:val="003D37D8"/>
    <w:rsid w:val="00426133"/>
    <w:rsid w:val="004358AB"/>
    <w:rsid w:val="008B7726"/>
    <w:rsid w:val="009111C5"/>
    <w:rsid w:val="00BA36C1"/>
    <w:rsid w:val="00D31D50"/>
    <w:rsid w:val="00F503FC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B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B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B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B8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FE4B8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E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njzax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WIN7</cp:lastModifiedBy>
  <cp:revision>4</cp:revision>
  <dcterms:created xsi:type="dcterms:W3CDTF">2008-09-11T17:20:00Z</dcterms:created>
  <dcterms:modified xsi:type="dcterms:W3CDTF">2018-08-07T07:25:00Z</dcterms:modified>
</cp:coreProperties>
</file>