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4B1C99">
      <w:pPr>
        <w:spacing w:line="640" w:lineRule="exact"/>
        <w:jc w:val="center"/>
        <w:rPr>
          <w:rFonts w:hint="eastAsia" w:ascii="Times New Roman" w:hAnsi="Times New Roman" w:eastAsia="仿宋_GB2312" w:cs="Times New Roman"/>
          <w:szCs w:val="32"/>
        </w:rPr>
      </w:pPr>
    </w:p>
    <w:p w14:paraId="2A86CEBA">
      <w:pPr>
        <w:spacing w:line="600" w:lineRule="exact"/>
        <w:jc w:val="center"/>
        <w:rPr>
          <w:rFonts w:ascii="Times New Roman" w:hAnsi="Times New Roman" w:eastAsia="仿宋_GB2312" w:cs="Times New Roman"/>
          <w:szCs w:val="32"/>
        </w:rPr>
      </w:pPr>
      <w:bookmarkStart w:id="34" w:name="_GoBack"/>
      <w:bookmarkEnd w:id="34"/>
    </w:p>
    <w:p w14:paraId="67A7D9FF">
      <w:pPr>
        <w:spacing w:line="600" w:lineRule="exact"/>
        <w:jc w:val="center"/>
        <w:rPr>
          <w:rFonts w:ascii="Times New Roman" w:hAnsi="Times New Roman" w:eastAsia="仿宋_GB2312" w:cs="Times New Roman"/>
          <w:szCs w:val="32"/>
        </w:rPr>
      </w:pPr>
    </w:p>
    <w:p w14:paraId="7C915F4D">
      <w:pPr>
        <w:jc w:val="center"/>
        <w:rPr>
          <w:rFonts w:ascii="Times New Roman" w:hAnsi="Times New Roman" w:eastAsia="仿宋_GB2312" w:cs="Times New Roman"/>
          <w:szCs w:val="32"/>
        </w:rPr>
      </w:pPr>
      <w:r>
        <w:rPr>
          <w:rFonts w:hint="eastAsia" w:ascii="Times New Roman" w:hAnsi="Times New Roman" w:eastAsia="仿宋_GB2312" w:cs="Times New Roman"/>
          <w:szCs w:val="32"/>
        </w:rPr>
        <w:t>南建质安协职</w:t>
      </w:r>
      <w:r>
        <w:rPr>
          <w:rFonts w:ascii="Times New Roman" w:hAnsi="Times New Roman" w:eastAsia="仿宋_GB2312" w:cs="Times New Roman"/>
          <w:szCs w:val="32"/>
        </w:rPr>
        <w:t>〔2025〕1号</w:t>
      </w:r>
    </w:p>
    <w:p w14:paraId="51CFFDAF">
      <w:pPr>
        <w:jc w:val="center"/>
        <w:rPr>
          <w:rFonts w:ascii="Times New Roman" w:hAnsi="Times New Roman" w:eastAsia="仿宋_GB2312" w:cs="Times New Roman"/>
          <w:szCs w:val="32"/>
        </w:rPr>
      </w:pPr>
    </w:p>
    <w:p w14:paraId="40D6C513">
      <w:pPr>
        <w:jc w:val="center"/>
        <w:rPr>
          <w:rFonts w:ascii="Times New Roman" w:hAnsi="Times New Roman" w:eastAsia="仿宋_GB2312" w:cs="Times New Roman"/>
          <w:szCs w:val="32"/>
        </w:rPr>
      </w:pPr>
    </w:p>
    <w:p w14:paraId="6DB2DE2F">
      <w:pPr>
        <w:spacing w:line="520" w:lineRule="exact"/>
        <w:jc w:val="center"/>
        <w:rPr>
          <w:rFonts w:ascii="Times New Roman" w:hAnsi="Times New Roman" w:eastAsia="方正小标宋简体" w:cs="Times New Roman"/>
          <w:bCs/>
          <w:sz w:val="44"/>
          <w:szCs w:val="44"/>
        </w:rPr>
      </w:pPr>
      <w:r>
        <w:rPr>
          <w:rFonts w:ascii="Times New Roman" w:hAnsi="Times New Roman" w:eastAsia="方正小标宋简体" w:cs="Times New Roman"/>
          <w:sz w:val="44"/>
          <w:szCs w:val="44"/>
        </w:rPr>
        <w:t>关于开展2025年度</w:t>
      </w:r>
      <w:bookmarkStart w:id="0" w:name="OLE_LINK1"/>
      <w:bookmarkStart w:id="1" w:name="OLE_LINK2"/>
      <w:r>
        <w:rPr>
          <w:rFonts w:ascii="Times New Roman" w:hAnsi="Times New Roman" w:eastAsia="方正小标宋简体" w:cs="Times New Roman"/>
          <w:bCs/>
          <w:sz w:val="44"/>
          <w:szCs w:val="44"/>
        </w:rPr>
        <w:t>南宁市建设工程质量安全</w:t>
      </w:r>
    </w:p>
    <w:p w14:paraId="56178A27">
      <w:pPr>
        <w:spacing w:line="520" w:lineRule="exact"/>
        <w:jc w:val="center"/>
        <w:rPr>
          <w:rFonts w:ascii="Times New Roman" w:hAnsi="Times New Roman" w:eastAsia="方正小标宋简体" w:cs="Times New Roman"/>
          <w:sz w:val="44"/>
          <w:szCs w:val="44"/>
        </w:rPr>
      </w:pPr>
      <w:r>
        <w:rPr>
          <w:rFonts w:ascii="Times New Roman" w:hAnsi="Times New Roman" w:eastAsia="方正小标宋简体" w:cs="Times New Roman"/>
          <w:bCs/>
          <w:sz w:val="44"/>
          <w:szCs w:val="44"/>
        </w:rPr>
        <w:t>协会</w:t>
      </w:r>
      <w:bookmarkStart w:id="2" w:name="OLE_LINK3"/>
      <w:r>
        <w:rPr>
          <w:rFonts w:ascii="Times New Roman" w:hAnsi="Times New Roman" w:eastAsia="方正小标宋简体" w:cs="Times New Roman"/>
          <w:sz w:val="44"/>
          <w:szCs w:val="44"/>
        </w:rPr>
        <w:t>工程系列住建行业中、初级职称</w:t>
      </w:r>
    </w:p>
    <w:p w14:paraId="26658482">
      <w:pPr>
        <w:spacing w:line="520" w:lineRule="exact"/>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评审工作</w:t>
      </w:r>
      <w:bookmarkEnd w:id="0"/>
      <w:bookmarkEnd w:id="1"/>
      <w:bookmarkEnd w:id="2"/>
      <w:r>
        <w:rPr>
          <w:rFonts w:ascii="Times New Roman" w:hAnsi="Times New Roman" w:eastAsia="方正小标宋简体" w:cs="Times New Roman"/>
          <w:sz w:val="44"/>
          <w:szCs w:val="44"/>
        </w:rPr>
        <w:t>的通知</w:t>
      </w:r>
    </w:p>
    <w:p w14:paraId="772F2C31">
      <w:pPr>
        <w:widowControl w:val="0"/>
        <w:overflowPunct w:val="0"/>
        <w:spacing w:line="520" w:lineRule="exact"/>
        <w:ind w:firstLine="640" w:firstLineChars="200"/>
        <w:rPr>
          <w:rFonts w:ascii="Times New Roman" w:hAnsi="Times New Roman" w:eastAsia="仿宋_GB2312" w:cs="Times New Roman"/>
          <w:szCs w:val="32"/>
        </w:rPr>
      </w:pPr>
    </w:p>
    <w:p w14:paraId="6CF5F0DF">
      <w:pPr>
        <w:widowControl w:val="0"/>
        <w:overflowPunct w:val="0"/>
        <w:spacing w:line="520" w:lineRule="exact"/>
        <w:rPr>
          <w:rFonts w:ascii="Times New Roman" w:hAnsi="Times New Roman" w:eastAsia="仿宋_GB2312" w:cs="Times New Roman"/>
          <w:color w:val="auto"/>
          <w:szCs w:val="32"/>
        </w:rPr>
      </w:pPr>
      <w:r>
        <w:rPr>
          <w:rFonts w:ascii="Times New Roman" w:hAnsi="Times New Roman" w:eastAsia="仿宋_GB2312" w:cs="Times New Roman"/>
          <w:color w:val="auto"/>
          <w:szCs w:val="32"/>
        </w:rPr>
        <w:t>各有关单位：</w:t>
      </w:r>
    </w:p>
    <w:p w14:paraId="4AE5D99D">
      <w:pPr>
        <w:widowControl w:val="0"/>
        <w:overflowPunct w:val="0"/>
        <w:spacing w:line="520" w:lineRule="exact"/>
        <w:ind w:firstLine="640" w:firstLineChars="200"/>
        <w:rPr>
          <w:rFonts w:ascii="Times New Roman" w:hAnsi="Times New Roman" w:eastAsia="仿宋_GB2312" w:cs="Times New Roman"/>
          <w:color w:val="auto"/>
          <w:szCs w:val="32"/>
        </w:rPr>
      </w:pPr>
      <w:r>
        <w:rPr>
          <w:rFonts w:ascii="Times New Roman" w:hAnsi="Times New Roman" w:eastAsia="仿宋_GB2312" w:cs="Times New Roman"/>
          <w:color w:val="auto"/>
          <w:szCs w:val="32"/>
        </w:rPr>
        <w:t>根据《关于开展2025年度广西工程系列住房城乡建设行业高、中、初级职称评审工作的通知》（桂建职〔2025〕5号）、《南宁市人力资源和社会保障局关于做好2025年度全市职称评审工作的通知》（南人社函〔2025〕46号）及有关文件精神，为做好2025年度南宁市建设工程质量安全协会工程系列住建行业中、初级职称评审工作，现就有关事项通知如下：</w:t>
      </w:r>
    </w:p>
    <w:p w14:paraId="3EF4A13E">
      <w:pPr>
        <w:widowControl w:val="0"/>
        <w:overflowPunct w:val="0"/>
        <w:spacing w:line="520" w:lineRule="exact"/>
        <w:ind w:firstLine="640" w:firstLineChars="200"/>
        <w:rPr>
          <w:rFonts w:ascii="Times New Roman" w:hAnsi="Times New Roman" w:eastAsia="黑体" w:cs="Times New Roman"/>
          <w:color w:val="auto"/>
          <w:szCs w:val="32"/>
        </w:rPr>
      </w:pPr>
      <w:r>
        <w:rPr>
          <w:rFonts w:ascii="Times New Roman" w:hAnsi="Times New Roman" w:eastAsia="黑体" w:cs="Times New Roman"/>
          <w:color w:val="auto"/>
          <w:szCs w:val="32"/>
        </w:rPr>
        <w:t>一、申报范围和对象</w:t>
      </w:r>
    </w:p>
    <w:p w14:paraId="67BB0308">
      <w:pPr>
        <w:pStyle w:val="8"/>
        <w:widowControl w:val="0"/>
        <w:shd w:val="clear" w:color="auto" w:fill="FFFFFF"/>
        <w:overflowPunct w:val="0"/>
        <w:spacing w:before="0" w:beforeAutospacing="0" w:after="0" w:afterAutospacing="0" w:line="520" w:lineRule="exact"/>
        <w:ind w:firstLine="640" w:firstLineChars="200"/>
        <w:jc w:val="both"/>
        <w:rPr>
          <w:rFonts w:ascii="Times New Roman" w:hAnsi="Times New Roman" w:eastAsia="仿宋_GB2312" w:cs="Times New Roman"/>
          <w:b/>
          <w:color w:val="auto"/>
          <w:sz w:val="32"/>
          <w:szCs w:val="32"/>
        </w:rPr>
      </w:pPr>
      <w:r>
        <w:rPr>
          <w:rFonts w:ascii="Times New Roman" w:hAnsi="Times New Roman" w:eastAsia="仿宋_GB2312" w:cs="Times New Roman"/>
          <w:color w:val="auto"/>
          <w:sz w:val="32"/>
          <w:szCs w:val="32"/>
        </w:rPr>
        <w:t>在南宁市企业、事业单位、社会团体、个体经济组织等</w:t>
      </w:r>
      <w:r>
        <w:rPr>
          <w:rFonts w:ascii="Times New Roman" w:hAnsi="Times New Roman" w:eastAsia="仿宋_GB2312" w:cs="Times New Roman"/>
          <w:color w:val="auto"/>
          <w:sz w:val="32"/>
          <w:szCs w:val="32"/>
          <w:lang w:bidi="ar"/>
        </w:rPr>
        <w:t>用人单位（以下称“用人单位”）</w:t>
      </w:r>
      <w:r>
        <w:rPr>
          <w:rFonts w:ascii="Times New Roman" w:hAnsi="Times New Roman" w:eastAsia="仿宋_GB2312" w:cs="Times New Roman"/>
          <w:color w:val="auto"/>
          <w:sz w:val="32"/>
          <w:szCs w:val="32"/>
        </w:rPr>
        <w:t>从事建设工程及相关领域工作的在职在岗专业技术人员，遵守宪法和法律，具备良好的职业道德，完成规定的继续教育任务，符合相应职称评审条件的，可按规定申报职称。</w:t>
      </w:r>
      <w:r>
        <w:rPr>
          <w:rFonts w:ascii="Times New Roman" w:hAnsi="Times New Roman" w:eastAsia="仿宋_GB2312" w:cs="Times New Roman"/>
          <w:b/>
          <w:color w:val="auto"/>
          <w:sz w:val="32"/>
          <w:szCs w:val="32"/>
        </w:rPr>
        <w:t>根据南职字〔2023〕73号文件精神，本职改办接收的14个申报专业范围为：建筑工程管理、市政公用工程、市政给水排水、市政道路与桥梁、市政绿化、市政照明、暖通空调、建筑智能、消防工程、建筑艺术与装饰、绿色建筑、燃气工程、市政轨道、建筑物理。</w:t>
      </w:r>
    </w:p>
    <w:p w14:paraId="0A9BC859">
      <w:pPr>
        <w:widowControl w:val="0"/>
        <w:overflowPunct w:val="0"/>
        <w:spacing w:line="520" w:lineRule="exact"/>
        <w:ind w:firstLine="640" w:firstLineChars="200"/>
        <w:rPr>
          <w:rFonts w:ascii="Times New Roman" w:hAnsi="Times New Roman" w:eastAsia="仿宋_GB2312" w:cs="Times New Roman"/>
          <w:color w:val="auto"/>
          <w:szCs w:val="32"/>
        </w:rPr>
      </w:pPr>
      <w:r>
        <w:rPr>
          <w:rFonts w:ascii="Times New Roman" w:hAnsi="Times New Roman" w:eastAsia="仿宋_GB2312" w:cs="Times New Roman"/>
          <w:color w:val="auto"/>
          <w:szCs w:val="32"/>
        </w:rPr>
        <w:t>存在以下情形的人员不得申报：</w:t>
      </w:r>
    </w:p>
    <w:p w14:paraId="08C0E3D1">
      <w:pPr>
        <w:widowControl w:val="0"/>
        <w:overflowPunct w:val="0"/>
        <w:spacing w:line="520" w:lineRule="exact"/>
        <w:ind w:firstLine="640" w:firstLineChars="200"/>
        <w:rPr>
          <w:rFonts w:ascii="Times New Roman" w:hAnsi="Times New Roman" w:eastAsia="仿宋_GB2312" w:cs="Times New Roman"/>
          <w:color w:val="auto"/>
          <w:szCs w:val="32"/>
        </w:rPr>
      </w:pPr>
      <w:r>
        <w:rPr>
          <w:rFonts w:ascii="Times New Roman" w:hAnsi="Times New Roman" w:eastAsia="仿宋_GB2312" w:cs="Times New Roman"/>
          <w:color w:val="auto"/>
          <w:szCs w:val="32"/>
        </w:rPr>
        <w:t>（一）公务员（含参照公务员法管理单位人员）。因机构改革退出参照公务员法管理，在国家或自治区规定的过渡期内的事业单位专业技术人员除外。</w:t>
      </w:r>
    </w:p>
    <w:p w14:paraId="448F2C3E">
      <w:pPr>
        <w:widowControl w:val="0"/>
        <w:overflowPunct w:val="0"/>
        <w:spacing w:line="520" w:lineRule="exact"/>
        <w:ind w:firstLine="640" w:firstLineChars="200"/>
        <w:rPr>
          <w:rFonts w:ascii="Times New Roman" w:hAnsi="Times New Roman" w:eastAsia="仿宋_GB2312" w:cs="Times New Roman"/>
          <w:color w:val="auto"/>
          <w:szCs w:val="32"/>
        </w:rPr>
      </w:pPr>
      <w:r>
        <w:rPr>
          <w:rFonts w:ascii="Times New Roman" w:hAnsi="Times New Roman" w:eastAsia="仿宋_GB2312" w:cs="Times New Roman"/>
          <w:color w:val="auto"/>
          <w:szCs w:val="32"/>
        </w:rPr>
        <w:t>（二）已办理离退休手续或已达到法定退休年龄的人员。按规定办理了延长退休手续者除外。</w:t>
      </w:r>
    </w:p>
    <w:p w14:paraId="6EB8E25F">
      <w:pPr>
        <w:widowControl w:val="0"/>
        <w:overflowPunct w:val="0"/>
        <w:spacing w:line="520" w:lineRule="exact"/>
        <w:ind w:firstLine="640" w:firstLineChars="200"/>
        <w:rPr>
          <w:rFonts w:ascii="Times New Roman" w:hAnsi="Times New Roman" w:eastAsia="仿宋_GB2312" w:cs="Times New Roman"/>
          <w:color w:val="auto"/>
          <w:szCs w:val="32"/>
        </w:rPr>
      </w:pPr>
      <w:r>
        <w:rPr>
          <w:rFonts w:ascii="Times New Roman" w:hAnsi="Times New Roman" w:eastAsia="仿宋_GB2312" w:cs="Times New Roman"/>
          <w:color w:val="auto"/>
          <w:szCs w:val="32"/>
        </w:rPr>
        <w:t>（三）受到记过以上处分，在受处分期间的事业单位工作人员。</w:t>
      </w:r>
    </w:p>
    <w:p w14:paraId="3EDE3704">
      <w:pPr>
        <w:widowControl w:val="0"/>
        <w:overflowPunct w:val="0"/>
        <w:spacing w:line="520" w:lineRule="exact"/>
        <w:ind w:firstLine="640" w:firstLineChars="200"/>
        <w:rPr>
          <w:rFonts w:ascii="Times New Roman" w:hAnsi="Times New Roman" w:eastAsia="仿宋_GB2312" w:cs="Times New Roman"/>
          <w:color w:val="auto"/>
          <w:szCs w:val="32"/>
        </w:rPr>
      </w:pPr>
      <w:r>
        <w:rPr>
          <w:rFonts w:ascii="Times New Roman" w:hAnsi="Times New Roman" w:eastAsia="仿宋_GB2312" w:cs="Times New Roman"/>
          <w:color w:val="auto"/>
          <w:szCs w:val="32"/>
        </w:rPr>
        <w:t>（四）因违纪违法被有关部门立案审查调查的专业技术人员，或受到违纪违法处分处罚仍在处分处罚影响期内的专业技术人员。</w:t>
      </w:r>
    </w:p>
    <w:p w14:paraId="4465B7A3">
      <w:pPr>
        <w:widowControl w:val="0"/>
        <w:overflowPunct w:val="0"/>
        <w:spacing w:line="520" w:lineRule="exact"/>
        <w:ind w:firstLine="640" w:firstLineChars="200"/>
        <w:rPr>
          <w:rFonts w:ascii="Times New Roman" w:hAnsi="Times New Roman" w:eastAsia="仿宋_GB2312" w:cs="Times New Roman"/>
          <w:color w:val="auto"/>
          <w:szCs w:val="32"/>
        </w:rPr>
      </w:pPr>
      <w:r>
        <w:rPr>
          <w:rFonts w:ascii="Times New Roman" w:hAnsi="Times New Roman" w:eastAsia="仿宋_GB2312" w:cs="Times New Roman"/>
          <w:color w:val="auto"/>
          <w:szCs w:val="32"/>
        </w:rPr>
        <w:t>（五）记入职称评审诚信档案库，仍在记录期限的专业技术人员。</w:t>
      </w:r>
    </w:p>
    <w:p w14:paraId="7C72A8B9">
      <w:pPr>
        <w:widowControl w:val="0"/>
        <w:overflowPunct w:val="0"/>
        <w:spacing w:line="520" w:lineRule="exact"/>
        <w:ind w:firstLine="640" w:firstLineChars="200"/>
        <w:rPr>
          <w:rFonts w:ascii="Times New Roman" w:hAnsi="Times New Roman" w:eastAsia="仿宋_GB2312" w:cs="Times New Roman"/>
          <w:color w:val="auto"/>
          <w:szCs w:val="32"/>
        </w:rPr>
      </w:pPr>
      <w:r>
        <w:rPr>
          <w:rFonts w:ascii="Times New Roman" w:hAnsi="Times New Roman" w:eastAsia="仿宋_GB2312" w:cs="Times New Roman"/>
          <w:color w:val="auto"/>
          <w:szCs w:val="32"/>
        </w:rPr>
        <w:t>申报后出现上述情形的人员，其评审结果不予确认。</w:t>
      </w:r>
    </w:p>
    <w:p w14:paraId="4B9C679C">
      <w:pPr>
        <w:widowControl w:val="0"/>
        <w:overflowPunct w:val="0"/>
        <w:spacing w:line="520" w:lineRule="exact"/>
        <w:ind w:firstLine="640" w:firstLineChars="200"/>
        <w:rPr>
          <w:rFonts w:ascii="Times New Roman" w:hAnsi="Times New Roman" w:eastAsia="黑体" w:cs="Times New Roman"/>
          <w:color w:val="auto"/>
          <w:szCs w:val="32"/>
        </w:rPr>
      </w:pPr>
      <w:r>
        <w:rPr>
          <w:rFonts w:ascii="Times New Roman" w:hAnsi="Times New Roman" w:eastAsia="黑体" w:cs="Times New Roman"/>
          <w:color w:val="auto"/>
          <w:szCs w:val="32"/>
        </w:rPr>
        <w:t>二、申报条件</w:t>
      </w:r>
    </w:p>
    <w:p w14:paraId="6656D7CD">
      <w:pPr>
        <w:widowControl w:val="0"/>
        <w:overflowPunct w:val="0"/>
        <w:spacing w:line="520" w:lineRule="exact"/>
        <w:ind w:firstLine="640" w:firstLineChars="200"/>
        <w:rPr>
          <w:rFonts w:ascii="Times New Roman" w:hAnsi="Times New Roman" w:eastAsia="仿宋_GB2312" w:cs="Times New Roman"/>
          <w:color w:val="auto"/>
          <w:szCs w:val="32"/>
        </w:rPr>
      </w:pPr>
      <w:r>
        <w:rPr>
          <w:rFonts w:ascii="Times New Roman" w:hAnsi="Times New Roman" w:eastAsia="仿宋_GB2312" w:cs="Times New Roman"/>
          <w:color w:val="auto"/>
          <w:szCs w:val="32"/>
        </w:rPr>
        <w:t>（一）申报人员应符合与申报职称相应的评审条件。按照《广西壮族自治区职称改革工作领导小组办公室关于印发广西壮族自治区工程系列住房城乡建设行业高、中、初级职称评审条件的通知》（桂职办〔2022〕35号）（附件1）执行。评审条件中业绩成果条件和学术成果条件，根据国家和自治区有关文件精神，合并为成果多选菜单。</w:t>
      </w:r>
    </w:p>
    <w:p w14:paraId="67B50FBD">
      <w:pPr>
        <w:widowControl w:val="0"/>
        <w:overflowPunct w:val="0"/>
        <w:spacing w:line="520" w:lineRule="exact"/>
        <w:ind w:firstLine="643" w:firstLineChars="200"/>
        <w:rPr>
          <w:rFonts w:ascii="Times New Roman" w:hAnsi="Times New Roman" w:eastAsia="仿宋_GB2312" w:cs="Times New Roman"/>
          <w:color w:val="auto"/>
          <w:szCs w:val="32"/>
        </w:rPr>
      </w:pPr>
      <w:r>
        <w:rPr>
          <w:rFonts w:ascii="Times New Roman" w:hAnsi="Times New Roman" w:eastAsia="仿宋_GB2312" w:cs="Times New Roman"/>
          <w:b/>
          <w:color w:val="auto"/>
          <w:szCs w:val="32"/>
        </w:rPr>
        <w:t>菜单一：</w:t>
      </w:r>
      <w:r>
        <w:rPr>
          <w:rFonts w:ascii="Times New Roman" w:hAnsi="Times New Roman" w:eastAsia="仿宋_GB2312" w:cs="Times New Roman"/>
          <w:color w:val="auto"/>
          <w:szCs w:val="32"/>
        </w:rPr>
        <w:t>满足评审条件中业绩成果条件和学术成果条件。</w:t>
      </w:r>
    </w:p>
    <w:p w14:paraId="71707FCF">
      <w:pPr>
        <w:widowControl w:val="0"/>
        <w:overflowPunct w:val="0"/>
        <w:spacing w:line="520" w:lineRule="exact"/>
        <w:ind w:firstLine="643" w:firstLineChars="200"/>
        <w:rPr>
          <w:rFonts w:ascii="Times New Roman" w:hAnsi="Times New Roman" w:eastAsia="仿宋_GB2312" w:cs="Times New Roman"/>
          <w:color w:val="auto"/>
          <w:szCs w:val="32"/>
        </w:rPr>
      </w:pPr>
      <w:r>
        <w:rPr>
          <w:rFonts w:ascii="Times New Roman" w:hAnsi="Times New Roman" w:eastAsia="仿宋_GB2312" w:cs="Times New Roman"/>
          <w:b/>
          <w:color w:val="auto"/>
          <w:szCs w:val="32"/>
        </w:rPr>
        <w:t>菜单二：</w:t>
      </w:r>
      <w:r>
        <w:rPr>
          <w:rFonts w:ascii="Times New Roman" w:hAnsi="Times New Roman" w:eastAsia="仿宋_GB2312" w:cs="Times New Roman"/>
          <w:color w:val="auto"/>
          <w:szCs w:val="32"/>
        </w:rPr>
        <w:t>申报中、初级职称人员满足业绩成果条件中两项可视为具备业绩成果条件和学术成果条件。同一个业绩成果不能重复使用。</w:t>
      </w:r>
    </w:p>
    <w:p w14:paraId="03D8CF2B">
      <w:pPr>
        <w:widowControl w:val="0"/>
        <w:overflowPunct w:val="0"/>
        <w:spacing w:line="520" w:lineRule="exact"/>
        <w:ind w:firstLine="640" w:firstLineChars="200"/>
        <w:rPr>
          <w:rFonts w:ascii="Times New Roman" w:hAnsi="Times New Roman" w:eastAsia="仿宋_GB2312" w:cs="Times New Roman"/>
          <w:color w:val="auto"/>
          <w:szCs w:val="32"/>
        </w:rPr>
      </w:pPr>
      <w:r>
        <w:rPr>
          <w:rFonts w:ascii="Times New Roman" w:hAnsi="Times New Roman" w:eastAsia="仿宋_GB2312" w:cs="Times New Roman"/>
          <w:color w:val="auto"/>
          <w:szCs w:val="32"/>
        </w:rPr>
        <w:t>（二）无职称直接申报中级职称的，应从事专业技术工作年限超过评审条件相应学历资历规定年限（初级、中级职称所需年限合并计算）2年以上。需提供劳动合同或事业单位入编（聘任合同）等证明材料，且有对应的社保佐证信息。</w:t>
      </w:r>
    </w:p>
    <w:p w14:paraId="6A22C692">
      <w:pPr>
        <w:widowControl w:val="0"/>
        <w:overflowPunct w:val="0"/>
        <w:spacing w:line="520" w:lineRule="exact"/>
        <w:ind w:firstLine="640" w:firstLineChars="200"/>
        <w:rPr>
          <w:rFonts w:ascii="Times New Roman" w:hAnsi="Times New Roman" w:eastAsia="仿宋_GB2312" w:cs="Times New Roman"/>
          <w:color w:val="auto"/>
          <w:szCs w:val="32"/>
        </w:rPr>
      </w:pPr>
      <w:r>
        <w:rPr>
          <w:rFonts w:ascii="Times New Roman" w:hAnsi="Times New Roman" w:eastAsia="仿宋_GB2312" w:cs="Times New Roman"/>
          <w:color w:val="auto"/>
          <w:szCs w:val="32"/>
        </w:rPr>
        <w:t>（三）公务员（含参照公务员法管理单位人员）流动到企事业单位后，可直接申报副高级以下职称，相关资历、业绩成果等要求按桂人社规〔2021〕11号文件第十八条（三）项（附件2）规定执行。</w:t>
      </w:r>
    </w:p>
    <w:p w14:paraId="3C317A20">
      <w:pPr>
        <w:widowControl w:val="0"/>
        <w:overflowPunct w:val="0"/>
        <w:spacing w:line="520" w:lineRule="exact"/>
        <w:ind w:firstLine="640" w:firstLineChars="200"/>
        <w:rPr>
          <w:rFonts w:ascii="Times New Roman" w:hAnsi="Times New Roman" w:eastAsia="仿宋_GB2312" w:cs="Times New Roman"/>
          <w:color w:val="auto"/>
          <w:szCs w:val="32"/>
        </w:rPr>
      </w:pPr>
      <w:r>
        <w:rPr>
          <w:rFonts w:ascii="Times New Roman" w:hAnsi="Times New Roman" w:eastAsia="仿宋_GB2312" w:cs="Times New Roman"/>
          <w:color w:val="auto"/>
          <w:szCs w:val="32"/>
        </w:rPr>
        <w:t>（四）工程技术人才取得的工程领域职业资格，可对应相应层级的职称作为申报高一级职称的条件，职业资格分级设置的，其初级（二级）、中级（一级）、高级分别对应职称的助理级、中级、高级，未分级设置的一般对应中级职称，国家另有规定的除外。</w:t>
      </w:r>
    </w:p>
    <w:p w14:paraId="69E8A4B5">
      <w:pPr>
        <w:widowControl w:val="0"/>
        <w:overflowPunct w:val="0"/>
        <w:spacing w:line="520" w:lineRule="exact"/>
        <w:ind w:firstLine="640" w:firstLineChars="200"/>
        <w:rPr>
          <w:rFonts w:ascii="Times New Roman" w:hAnsi="Times New Roman" w:eastAsia="仿宋_GB2312" w:cs="Times New Roman"/>
          <w:color w:val="auto"/>
          <w:szCs w:val="32"/>
        </w:rPr>
      </w:pPr>
      <w:r>
        <w:rPr>
          <w:rFonts w:ascii="Times New Roman" w:hAnsi="Times New Roman" w:eastAsia="仿宋_GB2312" w:cs="Times New Roman"/>
          <w:color w:val="auto"/>
          <w:szCs w:val="32"/>
        </w:rPr>
        <w:t>（五）高技能人才参加职称评审，按照《广西壮族自治区人力资源和社会保障厅关于印发广西高技能人才与专业技术人才职业发展贯通实施办法的通知》（桂人社规〔2021〕12号）文件有关规定执行。</w:t>
      </w:r>
    </w:p>
    <w:p w14:paraId="34011E8F">
      <w:pPr>
        <w:widowControl w:val="0"/>
        <w:overflowPunct w:val="0"/>
        <w:spacing w:line="520" w:lineRule="exact"/>
        <w:ind w:firstLine="640" w:firstLineChars="200"/>
        <w:rPr>
          <w:rFonts w:ascii="Times New Roman" w:hAnsi="Times New Roman" w:eastAsia="仿宋_GB2312" w:cs="Times New Roman"/>
          <w:color w:val="auto"/>
          <w:szCs w:val="32"/>
        </w:rPr>
      </w:pPr>
      <w:r>
        <w:rPr>
          <w:rFonts w:ascii="Times New Roman" w:hAnsi="Times New Roman" w:eastAsia="仿宋_GB2312" w:cs="Times New Roman"/>
          <w:color w:val="auto"/>
          <w:szCs w:val="32"/>
        </w:rPr>
        <w:t>（六）破格申报</w:t>
      </w:r>
    </w:p>
    <w:p w14:paraId="71EA598D">
      <w:pPr>
        <w:widowControl w:val="0"/>
        <w:overflowPunct w:val="0"/>
        <w:spacing w:line="520" w:lineRule="exact"/>
        <w:ind w:firstLine="640" w:firstLineChars="200"/>
        <w:rPr>
          <w:rFonts w:ascii="Times New Roman" w:hAnsi="Times New Roman" w:eastAsia="仿宋_GB2312" w:cs="Times New Roman"/>
          <w:color w:val="auto"/>
          <w:szCs w:val="32"/>
        </w:rPr>
      </w:pPr>
      <w:r>
        <w:rPr>
          <w:rFonts w:ascii="Times New Roman" w:hAnsi="Times New Roman" w:eastAsia="仿宋_GB2312" w:cs="Times New Roman"/>
          <w:color w:val="auto"/>
          <w:szCs w:val="32"/>
        </w:rPr>
        <w:t>1.破格申报应符合工程系列住房城乡建设行业破格条件要求。破格申报为放宽学历或资历条件，不等同于无职称申报或越级申报。破格无需提前单独审批，提供达到破格条件的证明材料，经本职改办审核同意后方可评审。各推荐单位应按照有关规定加强对破格申报的从严审核。</w:t>
      </w:r>
    </w:p>
    <w:p w14:paraId="0FE297D9">
      <w:pPr>
        <w:widowControl w:val="0"/>
        <w:overflowPunct w:val="0"/>
        <w:spacing w:line="520" w:lineRule="exact"/>
        <w:ind w:firstLine="640" w:firstLineChars="200"/>
        <w:rPr>
          <w:rFonts w:ascii="Times New Roman" w:hAnsi="Times New Roman" w:eastAsia="仿宋_GB2312" w:cs="Times New Roman"/>
          <w:color w:val="auto"/>
          <w:szCs w:val="32"/>
        </w:rPr>
      </w:pPr>
      <w:r>
        <w:rPr>
          <w:rFonts w:ascii="Times New Roman" w:hAnsi="Times New Roman" w:eastAsia="仿宋_GB2312" w:cs="Times New Roman"/>
          <w:color w:val="auto"/>
          <w:szCs w:val="32"/>
        </w:rPr>
        <w:t>2.通过工程类专业学位研究生教育获得与所申报专业相关工程类硕士专业学位的工程技术人才，在申报工程系列职称评审时可提前1年参加相应专业职称评审1次，工程类专业学位按《国务院学位委员会、教育部关于对工程专业学位类别进行调整的通知》（学位〔2018〕7号）执行，具体包括：电子信息（代码0854）、机械（代码0855）、材料与化工（代码0856）、资源与环境（代码0857）、能源动力（代码0858）、土木水利（代码0859）、生物与医药（代码0860）、交通运输（代码0861）8个专业学位类别，以及原工程专业学位类别（代码0852），项目管理、物流工程、工业工程3个领域不在其内。</w:t>
      </w:r>
    </w:p>
    <w:p w14:paraId="568DE823">
      <w:pPr>
        <w:widowControl w:val="0"/>
        <w:overflowPunct w:val="0"/>
        <w:spacing w:line="520" w:lineRule="exact"/>
        <w:ind w:firstLine="640" w:firstLineChars="200"/>
        <w:rPr>
          <w:rFonts w:ascii="Times New Roman" w:hAnsi="Times New Roman" w:eastAsia="仿宋_GB2312" w:cs="Times New Roman"/>
          <w:color w:val="auto"/>
          <w:szCs w:val="32"/>
        </w:rPr>
      </w:pPr>
      <w:r>
        <w:rPr>
          <w:rFonts w:ascii="Times New Roman" w:hAnsi="Times New Roman" w:eastAsia="仿宋_GB2312" w:cs="Times New Roman"/>
          <w:color w:val="auto"/>
          <w:szCs w:val="32"/>
        </w:rPr>
        <w:t>（七）专业技术人才从事与原取得职称系列不一致的专业技术工作的，在从事新的专业技术工作满一年后，可以按照现从事的专业技术工作重新申报相应职称评审办理职称转评。职称转评应当符合所申报职称系列（专业）条件，资历、年限、业绩成果等可以从取得下一级职称起算。</w:t>
      </w:r>
    </w:p>
    <w:p w14:paraId="55F1A409">
      <w:pPr>
        <w:widowControl w:val="0"/>
        <w:overflowPunct w:val="0"/>
        <w:spacing w:line="520" w:lineRule="exact"/>
        <w:ind w:firstLine="640" w:firstLineChars="200"/>
        <w:rPr>
          <w:rFonts w:ascii="Times New Roman" w:hAnsi="Times New Roman" w:eastAsia="仿宋_GB2312" w:cs="Times New Roman"/>
          <w:color w:val="auto"/>
          <w:szCs w:val="32"/>
          <w:highlight w:val="yellow"/>
        </w:rPr>
      </w:pPr>
      <w:r>
        <w:rPr>
          <w:rFonts w:ascii="Times New Roman" w:hAnsi="Times New Roman" w:eastAsia="仿宋_GB2312" w:cs="Times New Roman"/>
          <w:color w:val="auto"/>
          <w:szCs w:val="32"/>
        </w:rPr>
        <w:t>（八）在区外（含中直驻桂单位或外省单位驻桂机构、部队）取得职称，流动到我市后仍从事相同系列专业技术工作的，原则上应按规定办理重新确认后方可申报原系列上一级职称。在区外取得职称，不再从事原系列专业技术工作，不符合办理职称重新确认条件的，由单位核实其原取得职称的真实有效性后，可跨系列申报上一级职称或转评。职称重新确认和职称转评，分别按照桂人社规〔2021〕11号文件第三十六条、三十七条有关规定执行。</w:t>
      </w:r>
    </w:p>
    <w:p w14:paraId="453FA985">
      <w:pPr>
        <w:widowControl w:val="0"/>
        <w:overflowPunct w:val="0"/>
        <w:spacing w:line="520" w:lineRule="exact"/>
        <w:ind w:firstLine="640" w:firstLineChars="200"/>
        <w:rPr>
          <w:rFonts w:ascii="Times New Roman" w:hAnsi="Times New Roman" w:eastAsia="仿宋_GB2312" w:cs="Times New Roman"/>
          <w:color w:val="auto"/>
          <w:szCs w:val="32"/>
        </w:rPr>
      </w:pPr>
      <w:r>
        <w:rPr>
          <w:rFonts w:ascii="Times New Roman" w:hAnsi="Times New Roman" w:eastAsia="仿宋_GB2312" w:cs="Times New Roman"/>
          <w:color w:val="auto"/>
          <w:szCs w:val="32"/>
        </w:rPr>
        <w:t>（九）对长期在艰苦边远地区和基层一线工作的专业技术人才，侧重考察其实际工作业绩，适当放宽学历和任职年限要求。</w:t>
      </w:r>
    </w:p>
    <w:p w14:paraId="2406E12D">
      <w:pPr>
        <w:widowControl w:val="0"/>
        <w:overflowPunct w:val="0"/>
        <w:spacing w:line="520" w:lineRule="exact"/>
        <w:ind w:firstLine="640" w:firstLineChars="200"/>
        <w:rPr>
          <w:rFonts w:ascii="Times New Roman" w:hAnsi="Times New Roman" w:eastAsia="仿宋_GB2312" w:cs="Times New Roman"/>
          <w:color w:val="auto"/>
          <w:szCs w:val="32"/>
        </w:rPr>
      </w:pPr>
      <w:r>
        <w:rPr>
          <w:rFonts w:ascii="Times New Roman" w:hAnsi="Times New Roman" w:eastAsia="仿宋_GB2312" w:cs="Times New Roman"/>
          <w:color w:val="auto"/>
          <w:szCs w:val="32"/>
        </w:rPr>
        <w:t>（十）对担任脱贫攻坚（乡村振兴）驻村第一书记、驻村工作队员等重大任务的专业技术人员，执行任务时间计入从事专业技术工作时间。</w:t>
      </w:r>
    </w:p>
    <w:p w14:paraId="545A692E">
      <w:pPr>
        <w:widowControl w:val="0"/>
        <w:overflowPunct w:val="0"/>
        <w:spacing w:line="520" w:lineRule="exact"/>
        <w:ind w:firstLine="640" w:firstLineChars="200"/>
        <w:rPr>
          <w:rFonts w:ascii="Times New Roman" w:hAnsi="Times New Roman" w:eastAsia="仿宋_GB2312" w:cs="Times New Roman"/>
          <w:color w:val="auto"/>
          <w:szCs w:val="32"/>
        </w:rPr>
      </w:pPr>
      <w:r>
        <w:rPr>
          <w:rFonts w:ascii="Times New Roman" w:hAnsi="Times New Roman" w:eastAsia="仿宋_GB2312" w:cs="Times New Roman"/>
          <w:color w:val="auto"/>
          <w:szCs w:val="32"/>
        </w:rPr>
        <w:t>（十一）继续教育条件。申报前需完成本部门本行业规定的继续教育任务和自治区人社厅规定的2025年度公需科目（《广西“一区两地一园一通道”建设》和《人工智能时代的机遇与挑战——预训练大模型与生成式AI》）学习任务。申报资历年限内历年继续教育（含公需科目和专业科目）完成情况，作为推荐参评的重要参考条件，纳入评审标准。继续教育情况已实现数据共享的，无需个人提供证明材料。本行业另有继续教育任务的从其规定。</w:t>
      </w:r>
    </w:p>
    <w:p w14:paraId="6B7F8A2C">
      <w:pPr>
        <w:widowControl w:val="0"/>
        <w:overflowPunct w:val="0"/>
        <w:spacing w:line="520" w:lineRule="exact"/>
        <w:ind w:firstLine="640" w:firstLineChars="200"/>
        <w:rPr>
          <w:rFonts w:ascii="Times New Roman" w:hAnsi="Times New Roman" w:eastAsia="仿宋_GB2312" w:cs="Times New Roman"/>
          <w:color w:val="auto"/>
          <w:szCs w:val="32"/>
        </w:rPr>
      </w:pPr>
      <w:r>
        <w:rPr>
          <w:rFonts w:ascii="Times New Roman" w:hAnsi="Times New Roman" w:eastAsia="仿宋_GB2312" w:cs="Times New Roman"/>
          <w:color w:val="auto"/>
          <w:szCs w:val="32"/>
        </w:rPr>
        <w:t>（十二）申报人身份性质根据其申报时人事劳动关系所在工作单位确定，不得以兼职或协会成员等其他身份申报，否则视同申报材料造假。申报人在同一年度只能</w:t>
      </w:r>
      <w:bookmarkStart w:id="3" w:name="_Hlk139223525"/>
      <w:r>
        <w:rPr>
          <w:rFonts w:ascii="Times New Roman" w:hAnsi="Times New Roman" w:eastAsia="仿宋_GB2312" w:cs="Times New Roman"/>
          <w:color w:val="auto"/>
          <w:szCs w:val="32"/>
        </w:rPr>
        <w:t>申报评审一个同级别职称</w:t>
      </w:r>
      <w:bookmarkEnd w:id="3"/>
      <w:r>
        <w:rPr>
          <w:rFonts w:ascii="Times New Roman" w:hAnsi="Times New Roman" w:eastAsia="仿宋_GB2312" w:cs="Times New Roman"/>
          <w:color w:val="auto"/>
          <w:szCs w:val="32"/>
        </w:rPr>
        <w:t>。同一年度申报多个同级别职称的，该年度所有评审结果无效。</w:t>
      </w:r>
    </w:p>
    <w:p w14:paraId="4D372D6B">
      <w:pPr>
        <w:widowControl w:val="0"/>
        <w:overflowPunct w:val="0"/>
        <w:spacing w:line="520" w:lineRule="exact"/>
        <w:ind w:firstLine="640" w:firstLineChars="200"/>
        <w:rPr>
          <w:rFonts w:ascii="Times New Roman" w:hAnsi="Times New Roman" w:eastAsia="黑体" w:cs="Times New Roman"/>
          <w:color w:val="auto"/>
          <w:szCs w:val="32"/>
        </w:rPr>
      </w:pPr>
      <w:r>
        <w:rPr>
          <w:rFonts w:ascii="Times New Roman" w:hAnsi="Times New Roman" w:eastAsia="黑体" w:cs="Times New Roman"/>
          <w:color w:val="auto"/>
          <w:szCs w:val="32"/>
        </w:rPr>
        <w:t>三、申报途径</w:t>
      </w:r>
      <w:bookmarkStart w:id="4" w:name="bookmark33"/>
    </w:p>
    <w:p w14:paraId="660CB7F0">
      <w:pPr>
        <w:widowControl w:val="0"/>
        <w:overflowPunct w:val="0"/>
        <w:spacing w:line="520" w:lineRule="exact"/>
        <w:ind w:firstLine="640" w:firstLineChars="200"/>
        <w:rPr>
          <w:rFonts w:ascii="Times New Roman" w:hAnsi="Times New Roman" w:eastAsia="仿宋_GB2312" w:cs="Times New Roman"/>
          <w:color w:val="auto"/>
          <w:szCs w:val="32"/>
        </w:rPr>
      </w:pPr>
      <w:r>
        <w:rPr>
          <w:rFonts w:ascii="Times New Roman" w:hAnsi="Times New Roman" w:eastAsia="仿宋_GB2312" w:cs="Times New Roman"/>
          <w:color w:val="auto"/>
          <w:szCs w:val="32"/>
        </w:rPr>
        <w:t>（</w:t>
      </w:r>
      <w:bookmarkEnd w:id="4"/>
      <w:r>
        <w:rPr>
          <w:rFonts w:ascii="Times New Roman" w:hAnsi="Times New Roman" w:eastAsia="仿宋_GB2312" w:cs="Times New Roman"/>
          <w:color w:val="auto"/>
          <w:szCs w:val="32"/>
        </w:rPr>
        <w:t>一）在职人员应通过其人事劳动关系所在单位，按属地管理原则申报。已在各级人才市场办理档案托管的，可经所在单位同意并填写基层单位考核推荐意见后，通过各级人才市场推荐申报。除银行、保险公司等依法可独立承担民事责任能力的分支机构外，申报人不得选择无独立法人地位的分支机构作为申报单位参评。</w:t>
      </w:r>
    </w:p>
    <w:p w14:paraId="5A55AF6A">
      <w:pPr>
        <w:widowControl w:val="0"/>
        <w:overflowPunct w:val="0"/>
        <w:spacing w:line="520" w:lineRule="exact"/>
        <w:ind w:firstLine="640" w:firstLineChars="200"/>
        <w:rPr>
          <w:rFonts w:ascii="Times New Roman" w:hAnsi="Times New Roman" w:eastAsia="仿宋_GB2312" w:cs="Times New Roman"/>
          <w:color w:val="auto"/>
          <w:szCs w:val="32"/>
        </w:rPr>
      </w:pPr>
      <w:r>
        <w:rPr>
          <w:rFonts w:ascii="Times New Roman" w:hAnsi="Times New Roman" w:eastAsia="仿宋_GB2312" w:cs="Times New Roman"/>
          <w:color w:val="auto"/>
          <w:szCs w:val="32"/>
        </w:rPr>
        <w:t>（二）民营企业和非公有制经济组织专业技术人员、自由职业者，按照桂人社规〔2021〕11号文件第二十一条规定的途径申报职称。</w:t>
      </w:r>
    </w:p>
    <w:p w14:paraId="63189846">
      <w:pPr>
        <w:widowControl w:val="0"/>
        <w:overflowPunct w:val="0"/>
        <w:spacing w:line="520" w:lineRule="exact"/>
        <w:ind w:firstLine="640" w:firstLineChars="200"/>
        <w:rPr>
          <w:rFonts w:ascii="Times New Roman" w:hAnsi="Times New Roman" w:eastAsia="仿宋_GB2312" w:cs="Times New Roman"/>
          <w:color w:val="auto"/>
          <w:szCs w:val="32"/>
        </w:rPr>
      </w:pPr>
      <w:r>
        <w:rPr>
          <w:rFonts w:ascii="Times New Roman" w:hAnsi="Times New Roman" w:eastAsia="仿宋_GB2312" w:cs="Times New Roman"/>
          <w:color w:val="auto"/>
          <w:szCs w:val="32"/>
        </w:rPr>
        <w:t>民营企业申报同系列职称人员需统一申报途径，一般在劳动关系所在企业注册地参加职称评审。在我市辖区内注册的民营企业如选择自治区相关评委会评审的，需经我市人社行政部门审核推荐。</w:t>
      </w:r>
    </w:p>
    <w:p w14:paraId="3F3B444A">
      <w:pPr>
        <w:widowControl w:val="0"/>
        <w:overflowPunct w:val="0"/>
        <w:spacing w:line="520" w:lineRule="exact"/>
        <w:ind w:firstLine="640" w:firstLineChars="200"/>
        <w:rPr>
          <w:rFonts w:ascii="Times New Roman" w:hAnsi="Times New Roman" w:eastAsia="仿宋_GB2312" w:cs="Times New Roman"/>
          <w:color w:val="auto"/>
          <w:szCs w:val="32"/>
        </w:rPr>
      </w:pPr>
      <w:r>
        <w:rPr>
          <w:rFonts w:ascii="Times New Roman" w:hAnsi="Times New Roman" w:eastAsia="仿宋_GB2312" w:cs="Times New Roman"/>
          <w:color w:val="auto"/>
          <w:szCs w:val="32"/>
        </w:rPr>
        <w:t>（三）中直驻邕单位或外省市驻邕企业分支机构（分公司、办事处等）的专业技术人员，应按本单位（系统）统一渠道申报职称，不得多渠道申报。如选择向本评委会申报（由南宁市发文发证），须由该单位所在的中直单位组织人事部门或外省市驻邕单位总部（集团公司）人事部门就该驻邕单位申报渠道问题出具书面意见（模板见附件3），并报本职改部门备案后方可申报。</w:t>
      </w:r>
    </w:p>
    <w:p w14:paraId="666A20BA">
      <w:pPr>
        <w:widowControl w:val="0"/>
        <w:overflowPunct w:val="0"/>
        <w:spacing w:line="520" w:lineRule="exact"/>
        <w:ind w:firstLine="640" w:firstLineChars="200"/>
        <w:rPr>
          <w:rFonts w:ascii="Times New Roman" w:hAnsi="Times New Roman" w:eastAsia="仿宋_GB2312" w:cs="Times New Roman"/>
          <w:color w:val="auto"/>
          <w:szCs w:val="32"/>
        </w:rPr>
      </w:pPr>
      <w:r>
        <w:rPr>
          <w:rFonts w:ascii="Times New Roman" w:hAnsi="Times New Roman" w:eastAsia="仿宋_GB2312" w:cs="Times New Roman"/>
          <w:color w:val="auto"/>
          <w:szCs w:val="32"/>
        </w:rPr>
        <w:t>（四）市外人员按规定通过委托评审方式到我市申报评审职称的，应由申报人所在职改部门出具委托材料（模板见附件4），并经自治区、南宁市及县（市、区）职改办按权限审核同意后推荐到本职改办中、初级评委会评审。我市人员申报我市有评审权限但尚未组建评委会的职称时，应按委托评审程序办理手续。</w:t>
      </w:r>
    </w:p>
    <w:p w14:paraId="22010C2E">
      <w:pPr>
        <w:widowControl w:val="0"/>
        <w:overflowPunct w:val="0"/>
        <w:spacing w:line="520" w:lineRule="exact"/>
        <w:ind w:firstLine="640" w:firstLineChars="200"/>
        <w:rPr>
          <w:rFonts w:ascii="Times New Roman" w:hAnsi="Times New Roman" w:eastAsia="黑体" w:cs="Times New Roman"/>
          <w:color w:val="auto"/>
          <w:szCs w:val="32"/>
        </w:rPr>
      </w:pPr>
      <w:r>
        <w:rPr>
          <w:rFonts w:ascii="Times New Roman" w:hAnsi="Times New Roman" w:eastAsia="黑体" w:cs="Times New Roman"/>
          <w:color w:val="auto"/>
          <w:szCs w:val="32"/>
        </w:rPr>
        <w:t>四、申报材料相关要求</w:t>
      </w:r>
    </w:p>
    <w:p w14:paraId="4F40D953">
      <w:pPr>
        <w:widowControl w:val="0"/>
        <w:overflowPunct w:val="0"/>
        <w:spacing w:line="520" w:lineRule="exact"/>
        <w:ind w:firstLine="640" w:firstLineChars="200"/>
        <w:rPr>
          <w:rFonts w:ascii="Times New Roman" w:hAnsi="Times New Roman" w:eastAsia="仿宋_GB2312" w:cs="Times New Roman"/>
          <w:color w:val="auto"/>
          <w:szCs w:val="32"/>
        </w:rPr>
      </w:pPr>
      <w:r>
        <w:rPr>
          <w:rFonts w:ascii="Times New Roman" w:hAnsi="Times New Roman" w:eastAsia="仿宋_GB2312" w:cs="Times New Roman"/>
          <w:color w:val="auto"/>
          <w:szCs w:val="32"/>
        </w:rPr>
        <w:t>申报人应当在规定时限内通过网络申报系统按要求如实填报、上传、提交材料，对材料的真实性、完整性作出承诺并负责。申报人提交申报材料前须自行对学历、资历、专业技术工作经历、业绩成果、学术成果等材料进行检查核实，</w:t>
      </w:r>
      <w:r>
        <w:rPr>
          <w:rFonts w:ascii="Times New Roman" w:hAnsi="Times New Roman" w:eastAsia="仿宋_GB2312" w:cs="Times New Roman"/>
          <w:b/>
          <w:color w:val="auto"/>
          <w:szCs w:val="32"/>
        </w:rPr>
        <w:t>如缺少《南宁市建设工程质量安全协会工程系列住建行业中、初级职称申报材料清单》（附件5）中注明“不可缺少的硬件材料”中的任何一项，不得提交单位审核推荐。</w:t>
      </w:r>
      <w:r>
        <w:rPr>
          <w:rFonts w:ascii="Times New Roman" w:hAnsi="Times New Roman" w:eastAsia="仿宋_GB2312" w:cs="Times New Roman"/>
          <w:color w:val="auto"/>
          <w:szCs w:val="32"/>
        </w:rPr>
        <w:t>因申报人上传材料出现漏报、错报、未在指定位置填报上传或未在规定时间内通过网络申报系统提交申报材料所导致的后果，由申报人承担。</w:t>
      </w:r>
    </w:p>
    <w:p w14:paraId="6566FC02">
      <w:pPr>
        <w:widowControl w:val="0"/>
        <w:overflowPunct w:val="0"/>
        <w:spacing w:line="520" w:lineRule="exact"/>
        <w:ind w:firstLine="643" w:firstLineChars="200"/>
        <w:rPr>
          <w:rFonts w:ascii="Times New Roman" w:hAnsi="Times New Roman" w:eastAsia="仿宋_GB2312" w:cs="Times New Roman"/>
          <w:color w:val="auto"/>
          <w:szCs w:val="32"/>
        </w:rPr>
      </w:pPr>
      <w:r>
        <w:rPr>
          <w:rFonts w:ascii="Times New Roman" w:hAnsi="Times New Roman" w:eastAsia="楷体_GB2312" w:cs="Times New Roman"/>
          <w:b/>
          <w:color w:val="auto"/>
          <w:szCs w:val="32"/>
        </w:rPr>
        <w:t>（一）个人信息。</w:t>
      </w:r>
      <w:r>
        <w:rPr>
          <w:rFonts w:ascii="Times New Roman" w:hAnsi="Times New Roman" w:eastAsia="仿宋_GB2312" w:cs="Times New Roman"/>
          <w:color w:val="auto"/>
          <w:szCs w:val="32"/>
        </w:rPr>
        <w:t>包括个人基本信息、学历信息、现有职称、继续教育、社保及单位性质、年度考核及相关审批表等材料。</w:t>
      </w:r>
    </w:p>
    <w:p w14:paraId="462D5E18">
      <w:pPr>
        <w:widowControl w:val="0"/>
        <w:overflowPunct w:val="0"/>
        <w:spacing w:line="520" w:lineRule="exact"/>
        <w:ind w:firstLine="643" w:firstLineChars="200"/>
        <w:rPr>
          <w:rFonts w:ascii="Times New Roman" w:hAnsi="Times New Roman" w:eastAsia="仿宋_GB2312" w:cs="Times New Roman"/>
          <w:color w:val="auto"/>
          <w:szCs w:val="32"/>
        </w:rPr>
      </w:pPr>
      <w:r>
        <w:rPr>
          <w:rFonts w:ascii="Times New Roman" w:hAnsi="Times New Roman" w:eastAsia="仿宋_GB2312" w:cs="Times New Roman"/>
          <w:b/>
          <w:color w:val="auto"/>
          <w:szCs w:val="32"/>
        </w:rPr>
        <w:t>1.证件照。</w:t>
      </w:r>
      <w:r>
        <w:rPr>
          <w:rFonts w:ascii="Times New Roman" w:hAnsi="Times New Roman" w:eastAsia="仿宋_GB2312" w:cs="Times New Roman"/>
          <w:color w:val="auto"/>
          <w:szCs w:val="32"/>
        </w:rPr>
        <w:t>个人相片须为本人近期2寸免冠正面彩色证件照，以清晰为准，照片人物不能扭曲变形。</w:t>
      </w:r>
    </w:p>
    <w:p w14:paraId="3E55A7AE">
      <w:pPr>
        <w:widowControl w:val="0"/>
        <w:overflowPunct w:val="0"/>
        <w:spacing w:line="520" w:lineRule="exact"/>
        <w:ind w:firstLine="643" w:firstLineChars="200"/>
        <w:rPr>
          <w:rFonts w:ascii="Times New Roman" w:hAnsi="Times New Roman" w:eastAsia="仿宋_GB2312" w:cs="Times New Roman"/>
          <w:color w:val="auto"/>
          <w:szCs w:val="32"/>
        </w:rPr>
      </w:pPr>
      <w:r>
        <w:rPr>
          <w:rFonts w:ascii="Times New Roman" w:hAnsi="Times New Roman" w:eastAsia="仿宋_GB2312" w:cs="Times New Roman"/>
          <w:b/>
          <w:color w:val="auto"/>
          <w:szCs w:val="32"/>
        </w:rPr>
        <w:t>2.特殊选项勾选：</w:t>
      </w:r>
      <w:r>
        <w:rPr>
          <w:rFonts w:ascii="Times New Roman" w:hAnsi="Times New Roman" w:eastAsia="仿宋_GB2312" w:cs="Times New Roman"/>
          <w:color w:val="auto"/>
          <w:szCs w:val="32"/>
        </w:rPr>
        <w:t>结合个人申报情况，对成果多选菜单、特殊申报人员（高技能人才、直接申报人员、破格申报人员）等特殊选项进行勾选。</w:t>
      </w:r>
    </w:p>
    <w:p w14:paraId="35A5C2F7">
      <w:pPr>
        <w:widowControl w:val="0"/>
        <w:overflowPunct w:val="0"/>
        <w:spacing w:line="520" w:lineRule="exact"/>
        <w:ind w:firstLine="643" w:firstLineChars="200"/>
        <w:rPr>
          <w:rFonts w:ascii="Times New Roman" w:hAnsi="Times New Roman" w:eastAsia="仿宋_GB2312" w:cs="Times New Roman"/>
          <w:color w:val="auto"/>
          <w:szCs w:val="32"/>
        </w:rPr>
      </w:pPr>
      <w:r>
        <w:rPr>
          <w:rFonts w:ascii="Times New Roman" w:hAnsi="Times New Roman" w:eastAsia="仿宋_GB2312" w:cs="Times New Roman"/>
          <w:b/>
          <w:color w:val="auto"/>
          <w:szCs w:val="32"/>
        </w:rPr>
        <w:t>3.学历信息。</w:t>
      </w:r>
      <w:r>
        <w:rPr>
          <w:rFonts w:ascii="Times New Roman" w:hAnsi="Times New Roman" w:eastAsia="仿宋_GB2312" w:cs="Times New Roman"/>
          <w:color w:val="auto"/>
          <w:szCs w:val="32"/>
        </w:rPr>
        <w:t>学历信息通过职称申报系统“数据获取”方式填报的，无需提供学历认证材料；非“数据获取”方式填报的，还须提供学历、学位证书、用人单位（推荐单位）通过查询个人档案或学历、学位认证机构出具的学历、学位认证等相关材料。</w:t>
      </w:r>
    </w:p>
    <w:p w14:paraId="2F95F9F6">
      <w:pPr>
        <w:widowControl w:val="0"/>
        <w:spacing w:line="520" w:lineRule="exact"/>
        <w:ind w:firstLine="643" w:firstLineChars="200"/>
        <w:rPr>
          <w:rFonts w:ascii="Times New Roman" w:hAnsi="Times New Roman" w:eastAsia="仿宋_GB2312" w:cs="Times New Roman"/>
          <w:b/>
          <w:color w:val="auto"/>
          <w:szCs w:val="32"/>
        </w:rPr>
      </w:pPr>
      <w:r>
        <w:rPr>
          <w:rFonts w:ascii="Times New Roman" w:hAnsi="Times New Roman" w:eastAsia="仿宋_GB2312" w:cs="Times New Roman"/>
          <w:b/>
          <w:color w:val="auto"/>
          <w:szCs w:val="32"/>
        </w:rPr>
        <w:t>4.下一级职称证书信息。</w:t>
      </w:r>
      <w:r>
        <w:rPr>
          <w:rFonts w:ascii="Times New Roman" w:hAnsi="Times New Roman" w:eastAsia="仿宋_GB2312" w:cs="Times New Roman"/>
          <w:color w:val="auto"/>
          <w:szCs w:val="32"/>
        </w:rPr>
        <w:t>下一级职称证书信息在职称申报系统中已实现数据共享匹配的，无需提供职称证书材料。</w:t>
      </w:r>
      <w:r>
        <w:rPr>
          <w:rFonts w:ascii="Times New Roman" w:hAnsi="Times New Roman" w:eastAsia="仿宋_GB2312" w:cs="Times New Roman"/>
          <w:b/>
          <w:color w:val="auto"/>
          <w:szCs w:val="32"/>
        </w:rPr>
        <w:t>未能通过系统数据共享获取的，申请人应于2025年9月26日18:00前完成职称证书在线审验。</w:t>
      </w:r>
    </w:p>
    <w:p w14:paraId="4F6E3F36">
      <w:pPr>
        <w:widowControl w:val="0"/>
        <w:spacing w:line="520" w:lineRule="exact"/>
        <w:ind w:firstLine="640" w:firstLineChars="200"/>
        <w:rPr>
          <w:rFonts w:ascii="Times New Roman" w:hAnsi="Times New Roman" w:eastAsia="仿宋_GB2312" w:cs="Times New Roman"/>
          <w:color w:val="auto"/>
          <w:szCs w:val="32"/>
        </w:rPr>
      </w:pPr>
      <w:bookmarkStart w:id="5" w:name="OLE_LINK13"/>
      <w:bookmarkStart w:id="6" w:name="OLE_LINK12"/>
      <w:r>
        <w:rPr>
          <w:rFonts w:ascii="Times New Roman" w:hAnsi="Times New Roman" w:eastAsia="仿宋_GB2312" w:cs="Times New Roman"/>
          <w:color w:val="auto"/>
          <w:szCs w:val="32"/>
        </w:rPr>
        <w:t>工程领域职业资格证、高级工以上职业资格或职业技能等级证书在申报系统中未能通过数据共享获取的，需手动填写证书信息，将证书原件扫描上传至指定位置。有多个资格证书信息的，请注意勾选“是否以该资格申报”。</w:t>
      </w:r>
      <w:bookmarkEnd w:id="5"/>
      <w:bookmarkEnd w:id="6"/>
    </w:p>
    <w:p w14:paraId="411D8432">
      <w:pPr>
        <w:widowControl w:val="0"/>
        <w:overflowPunct w:val="0"/>
        <w:spacing w:line="520" w:lineRule="exact"/>
        <w:ind w:firstLine="643" w:firstLineChars="200"/>
        <w:rPr>
          <w:rFonts w:ascii="Times New Roman" w:hAnsi="Times New Roman" w:eastAsia="仿宋_GB2312" w:cs="Times New Roman"/>
          <w:color w:val="auto"/>
          <w:szCs w:val="32"/>
        </w:rPr>
      </w:pPr>
      <w:r>
        <w:rPr>
          <w:rFonts w:ascii="Times New Roman" w:hAnsi="Times New Roman" w:eastAsia="仿宋_GB2312" w:cs="Times New Roman"/>
          <w:b/>
          <w:color w:val="auto"/>
          <w:szCs w:val="32"/>
        </w:rPr>
        <w:t>5.继续教育。</w:t>
      </w:r>
      <w:r>
        <w:rPr>
          <w:rFonts w:ascii="Times New Roman" w:hAnsi="Times New Roman" w:eastAsia="仿宋_GB2312" w:cs="Times New Roman"/>
          <w:color w:val="auto"/>
          <w:szCs w:val="32"/>
        </w:rPr>
        <w:t>继续教育情况可通过申报系统中数据共享方式获取。按照《专业技术人员继续教育规定》（人力资源和社会保障部令第25号）、《广西壮族自治区人力资源和社会保障厅关于印发广西壮族自治区专业技术人员继续教育学时管理办法（试行）的通知》（桂人社规〔2019〕4号）精神，专业技术人员参加继续教育的时间，每年累计应不少于90学时，其中专业科目一般不少于总学时的三分之二。申报人应完成政府人社部门及住房城乡建设行业规定的继续教育任务。</w:t>
      </w:r>
    </w:p>
    <w:p w14:paraId="297F2C8B">
      <w:pPr>
        <w:widowControl w:val="0"/>
        <w:overflowPunct w:val="0"/>
        <w:spacing w:line="520" w:lineRule="exact"/>
        <w:ind w:firstLine="640" w:firstLineChars="200"/>
        <w:rPr>
          <w:rFonts w:ascii="Times New Roman" w:hAnsi="Times New Roman" w:eastAsia="仿宋_GB2312" w:cs="Times New Roman"/>
          <w:color w:val="auto"/>
          <w:szCs w:val="32"/>
        </w:rPr>
      </w:pPr>
      <w:r>
        <w:rPr>
          <w:rFonts w:ascii="Times New Roman" w:hAnsi="Times New Roman" w:eastAsia="仿宋_GB2312" w:cs="Times New Roman"/>
          <w:color w:val="auto"/>
          <w:szCs w:val="32"/>
        </w:rPr>
        <w:t>（1）人社部门规定的继续教育需登录广西专业技术人员继续教育信息管理系统（网址：</w:t>
      </w:r>
      <w:bookmarkStart w:id="7" w:name="OLE_LINK21"/>
      <w:bookmarkStart w:id="8" w:name="OLE_LINK20"/>
      <w:r>
        <w:rPr>
          <w:color w:val="auto"/>
        </w:rPr>
        <w:fldChar w:fldCharType="begin"/>
      </w:r>
      <w:r>
        <w:rPr>
          <w:rFonts w:ascii="Times New Roman" w:hAnsi="Times New Roman" w:cs="Times New Roman"/>
          <w:color w:val="auto"/>
        </w:rPr>
        <w:instrText xml:space="preserve"> HYPERLINK "http://ptce.gx12333.net/" </w:instrText>
      </w:r>
      <w:r>
        <w:rPr>
          <w:color w:val="auto"/>
        </w:rPr>
        <w:fldChar w:fldCharType="separate"/>
      </w:r>
      <w:r>
        <w:rPr>
          <w:rStyle w:val="12"/>
          <w:rFonts w:ascii="Times New Roman" w:hAnsi="Times New Roman" w:eastAsia="仿宋_GB2312" w:cs="Times New Roman"/>
          <w:color w:val="auto"/>
          <w:szCs w:val="32"/>
          <w:u w:val="none"/>
        </w:rPr>
        <w:t>http://ptce.gx12333.net/</w:t>
      </w:r>
      <w:r>
        <w:rPr>
          <w:rStyle w:val="12"/>
          <w:rFonts w:ascii="Times New Roman" w:hAnsi="Times New Roman" w:eastAsia="仿宋_GB2312" w:cs="Times New Roman"/>
          <w:color w:val="auto"/>
          <w:szCs w:val="32"/>
          <w:u w:val="none"/>
        </w:rPr>
        <w:fldChar w:fldCharType="end"/>
      </w:r>
      <w:bookmarkEnd w:id="7"/>
      <w:bookmarkEnd w:id="8"/>
      <w:r>
        <w:rPr>
          <w:rFonts w:ascii="Times New Roman" w:hAnsi="Times New Roman" w:eastAsia="仿宋_GB2312" w:cs="Times New Roman"/>
          <w:color w:val="auto"/>
          <w:szCs w:val="32"/>
        </w:rPr>
        <w:t>）完成2025年度公需科目学习考试任务。[详见</w:t>
      </w:r>
      <w:bookmarkStart w:id="9" w:name="OLE_LINK19"/>
      <w:bookmarkStart w:id="10" w:name="OLE_LINK18"/>
      <w:r>
        <w:rPr>
          <w:rFonts w:ascii="Times New Roman" w:hAnsi="Times New Roman" w:eastAsia="仿宋_GB2312" w:cs="Times New Roman"/>
          <w:color w:val="auto"/>
          <w:szCs w:val="32"/>
        </w:rPr>
        <w:t>《广西壮族自治区人力资源和社会保障厅关于印发2025年全区专业技术人才知识更新工程任务计划的通知》（桂人社函〔2025〕80号）</w:t>
      </w:r>
      <w:bookmarkEnd w:id="9"/>
      <w:bookmarkEnd w:id="10"/>
      <w:r>
        <w:rPr>
          <w:rFonts w:ascii="Times New Roman" w:hAnsi="Times New Roman" w:eastAsia="仿宋_GB2312" w:cs="Times New Roman"/>
          <w:color w:val="auto"/>
          <w:szCs w:val="32"/>
        </w:rPr>
        <w:t>（附件6）]</w:t>
      </w:r>
    </w:p>
    <w:p w14:paraId="6A702743">
      <w:pPr>
        <w:widowControl w:val="0"/>
        <w:overflowPunct w:val="0"/>
        <w:spacing w:line="520" w:lineRule="exact"/>
        <w:ind w:firstLine="640" w:firstLineChars="200"/>
        <w:rPr>
          <w:rFonts w:ascii="Times New Roman" w:hAnsi="Times New Roman" w:eastAsia="仿宋_GB2312" w:cs="Times New Roman"/>
          <w:color w:val="auto"/>
          <w:szCs w:val="32"/>
        </w:rPr>
      </w:pPr>
      <w:r>
        <w:rPr>
          <w:rFonts w:ascii="Times New Roman" w:hAnsi="Times New Roman" w:eastAsia="仿宋_GB2312" w:cs="Times New Roman"/>
          <w:color w:val="auto"/>
          <w:szCs w:val="32"/>
        </w:rPr>
        <w:t>（2）住房城乡建设行业继续教育应完成2024年度继续教育学习，并根据《自治区住房城乡建设厅关于印发广西壮族自治区住房城乡建设行业专业技术人员继续教育培训实施办法（试行）的通知》（桂建发〔2021〕8号）等文件要求，及时登录相关网站（https://jxjy.gxcic.net:9092/）进行继续教育学时信息登记、查询、审验。[详见《自治区住房城乡建设厅关于发布2025年度全区住房城乡建设行业专业技术人员继续教育专业科目学习指南的通知》（桂建人〔2025〕25号）（附件7）]</w:t>
      </w:r>
    </w:p>
    <w:p w14:paraId="0E90B2C4">
      <w:pPr>
        <w:widowControl w:val="0"/>
        <w:spacing w:line="520" w:lineRule="exact"/>
        <w:ind w:firstLine="643" w:firstLineChars="200"/>
        <w:rPr>
          <w:rFonts w:ascii="Times New Roman" w:hAnsi="Times New Roman" w:eastAsia="仿宋_GB2312" w:cs="Times New Roman"/>
          <w:color w:val="auto"/>
          <w:szCs w:val="32"/>
        </w:rPr>
      </w:pPr>
      <w:r>
        <w:rPr>
          <w:rFonts w:ascii="Times New Roman" w:hAnsi="Times New Roman" w:eastAsia="仿宋_GB2312" w:cs="Times New Roman"/>
          <w:b/>
          <w:color w:val="auto"/>
          <w:szCs w:val="32"/>
        </w:rPr>
        <w:t>6.社保信息。</w:t>
      </w:r>
      <w:r>
        <w:rPr>
          <w:rFonts w:ascii="Times New Roman" w:hAnsi="Times New Roman" w:eastAsia="仿宋_GB2312" w:cs="Times New Roman"/>
          <w:color w:val="auto"/>
          <w:szCs w:val="32"/>
        </w:rPr>
        <w:t>申报人工作经历应与社保缴费记录一致。企事业单位和社会组织申报人员应有在申报单位连续6个月以上（不含申报当月）个人养老保险缴费记录，自由职业申报人近6个月（不含申报当月）没有以单位名义缴纳养老保险缴费记录。6个月内有工作单位变动的，应提供相关情况说明和证明材料</w:t>
      </w:r>
      <w:bookmarkStart w:id="11" w:name="OLE_LINK27"/>
      <w:bookmarkStart w:id="12" w:name="OLE_LINK28"/>
      <w:bookmarkStart w:id="13" w:name="OLE_LINK29"/>
      <w:r>
        <w:rPr>
          <w:rFonts w:ascii="Times New Roman" w:hAnsi="Times New Roman" w:eastAsia="仿宋_GB2312" w:cs="Times New Roman"/>
          <w:color w:val="auto"/>
          <w:szCs w:val="32"/>
        </w:rPr>
        <w:t>，由本职改办进行核实。</w:t>
      </w:r>
      <w:bookmarkStart w:id="14" w:name="OLE_LINK26"/>
      <w:r>
        <w:rPr>
          <w:rFonts w:ascii="Times New Roman" w:hAnsi="Times New Roman" w:eastAsia="仿宋_GB2312" w:cs="Times New Roman"/>
          <w:color w:val="auto"/>
          <w:szCs w:val="32"/>
        </w:rPr>
        <w:t>审核中发现申报人工作经历与养老保险缴费记录不符的，可以退回申报人要求其补充说明原因，补充后仍核实为填报虚假信息或提供虚假材料的，</w:t>
      </w:r>
      <w:r>
        <w:rPr>
          <w:rFonts w:hint="eastAsia" w:ascii="Times New Roman" w:hAnsi="Times New Roman" w:eastAsia="仿宋_GB2312" w:cs="Times New Roman"/>
          <w:color w:val="auto"/>
          <w:szCs w:val="32"/>
        </w:rPr>
        <w:t>职改部门</w:t>
      </w:r>
      <w:r>
        <w:rPr>
          <w:rFonts w:ascii="Times New Roman" w:hAnsi="Times New Roman" w:eastAsia="仿宋_GB2312" w:cs="Times New Roman"/>
          <w:color w:val="auto"/>
          <w:szCs w:val="32"/>
        </w:rPr>
        <w:t>不予接收材料，进入评审结果公示期或取得职称的，按桂人社规〔2021〕11号文件第四十九条规定查处。</w:t>
      </w:r>
      <w:bookmarkEnd w:id="11"/>
      <w:bookmarkEnd w:id="12"/>
      <w:bookmarkEnd w:id="13"/>
      <w:bookmarkEnd w:id="14"/>
    </w:p>
    <w:p w14:paraId="06D36180">
      <w:pPr>
        <w:widowControl w:val="0"/>
        <w:overflowPunct w:val="0"/>
        <w:spacing w:line="520" w:lineRule="exact"/>
        <w:ind w:firstLine="640" w:firstLineChars="200"/>
        <w:rPr>
          <w:rFonts w:ascii="Times New Roman" w:hAnsi="Times New Roman" w:eastAsia="仿宋_GB2312" w:cs="Times New Roman"/>
          <w:color w:val="auto"/>
          <w:szCs w:val="32"/>
        </w:rPr>
      </w:pPr>
      <w:r>
        <w:rPr>
          <w:rFonts w:ascii="Times New Roman" w:hAnsi="Times New Roman" w:eastAsia="仿宋_GB2312" w:cs="Times New Roman"/>
          <w:color w:val="auto"/>
          <w:szCs w:val="32"/>
        </w:rPr>
        <w:t>在广西区内参保的，无须提供社保证明。在其他地方参保且可通过网络核实的，按申报系统要求填写核查途径，并上传中直驻邕或外省市单位委托函（附件3或4）。</w:t>
      </w:r>
    </w:p>
    <w:p w14:paraId="7FE56DB5">
      <w:pPr>
        <w:widowControl w:val="0"/>
        <w:overflowPunct w:val="0"/>
        <w:spacing w:line="520" w:lineRule="exact"/>
        <w:ind w:firstLine="643" w:firstLineChars="200"/>
        <w:rPr>
          <w:rFonts w:ascii="Times New Roman" w:hAnsi="Times New Roman" w:eastAsia="仿宋_GB2312" w:cs="Times New Roman"/>
          <w:color w:val="auto"/>
          <w:szCs w:val="32"/>
        </w:rPr>
      </w:pPr>
      <w:r>
        <w:rPr>
          <w:rFonts w:ascii="Times New Roman" w:hAnsi="Times New Roman" w:eastAsia="楷体_GB2312" w:cs="Times New Roman"/>
          <w:b/>
          <w:color w:val="auto"/>
          <w:szCs w:val="32"/>
        </w:rPr>
        <w:t>（二）评审主要材料。</w:t>
      </w:r>
      <w:r>
        <w:rPr>
          <w:rFonts w:ascii="Times New Roman" w:hAnsi="Times New Roman" w:eastAsia="仿宋_GB2312" w:cs="Times New Roman"/>
          <w:color w:val="auto"/>
          <w:szCs w:val="32"/>
        </w:rPr>
        <w:t>对照本人从事专业技术工作经历和业绩成果，对照相应评审条件要求提供材料。</w:t>
      </w:r>
    </w:p>
    <w:p w14:paraId="44BC2C18">
      <w:pPr>
        <w:widowControl w:val="0"/>
        <w:overflowPunct w:val="0"/>
        <w:spacing w:line="520" w:lineRule="exact"/>
        <w:ind w:firstLine="643" w:firstLineChars="200"/>
        <w:rPr>
          <w:rFonts w:ascii="Times New Roman" w:hAnsi="Times New Roman" w:eastAsia="仿宋_GB2312" w:cs="Times New Roman"/>
          <w:color w:val="auto"/>
          <w:szCs w:val="32"/>
        </w:rPr>
      </w:pPr>
      <w:r>
        <w:rPr>
          <w:rFonts w:ascii="Times New Roman" w:hAnsi="Times New Roman" w:eastAsia="仿宋_GB2312" w:cs="Times New Roman"/>
          <w:b/>
          <w:color w:val="auto"/>
          <w:szCs w:val="32"/>
        </w:rPr>
        <w:t>1.主要学历及工作简历。</w:t>
      </w:r>
      <w:r>
        <w:rPr>
          <w:rFonts w:ascii="Times New Roman" w:hAnsi="Times New Roman" w:eastAsia="仿宋_GB2312" w:cs="Times New Roman"/>
          <w:color w:val="auto"/>
          <w:szCs w:val="32"/>
        </w:rPr>
        <w:t>主要学历从大、中专院校以上填起；工作简历从参加工作时填起，包括在不同时期从事的专业技术工作经历及所担任的职务或职称。</w:t>
      </w:r>
    </w:p>
    <w:p w14:paraId="1FF3A0E2">
      <w:pPr>
        <w:widowControl w:val="0"/>
        <w:overflowPunct w:val="0"/>
        <w:spacing w:line="520" w:lineRule="exact"/>
        <w:ind w:firstLine="643" w:firstLineChars="200"/>
        <w:rPr>
          <w:rFonts w:ascii="Times New Roman" w:hAnsi="Times New Roman" w:eastAsia="仿宋_GB2312" w:cs="Times New Roman"/>
          <w:color w:val="auto"/>
          <w:szCs w:val="32"/>
        </w:rPr>
      </w:pPr>
      <w:r>
        <w:rPr>
          <w:rFonts w:ascii="Times New Roman" w:hAnsi="Times New Roman" w:eastAsia="仿宋_GB2312" w:cs="Times New Roman"/>
          <w:b/>
          <w:color w:val="auto"/>
          <w:szCs w:val="32"/>
        </w:rPr>
        <w:t>2.专业技术工作经历。</w:t>
      </w:r>
      <w:r>
        <w:rPr>
          <w:rFonts w:ascii="Times New Roman" w:hAnsi="Times New Roman" w:eastAsia="仿宋_GB2312" w:cs="Times New Roman"/>
          <w:color w:val="auto"/>
          <w:szCs w:val="32"/>
        </w:rPr>
        <w:t>从取得下一级职称时填起。专业技术工作经历必须符合评审条件中“专业技术工作经历条件”要求，且必须是任现职以来从事的专业技术工作。专业技术工作经历原则上需要提供充分的佐证材料，包括项目起始时间、项目内容、 本人任何职、证明人等，并按重要程度进行排序。</w:t>
      </w:r>
    </w:p>
    <w:p w14:paraId="21A50499">
      <w:pPr>
        <w:widowControl w:val="0"/>
        <w:overflowPunct w:val="0"/>
        <w:spacing w:line="520" w:lineRule="exact"/>
        <w:ind w:firstLine="643" w:firstLineChars="200"/>
        <w:rPr>
          <w:rFonts w:ascii="Times New Roman" w:hAnsi="Times New Roman" w:eastAsia="仿宋_GB2312" w:cs="Times New Roman"/>
          <w:color w:val="auto"/>
          <w:szCs w:val="32"/>
        </w:rPr>
      </w:pPr>
      <w:r>
        <w:rPr>
          <w:rFonts w:ascii="Times New Roman" w:hAnsi="Times New Roman" w:eastAsia="仿宋_GB2312" w:cs="Times New Roman"/>
          <w:b/>
          <w:color w:val="auto"/>
          <w:szCs w:val="32"/>
        </w:rPr>
        <w:t>3.业绩成果。</w:t>
      </w:r>
      <w:r>
        <w:rPr>
          <w:rFonts w:ascii="Times New Roman" w:hAnsi="Times New Roman" w:eastAsia="仿宋_GB2312" w:cs="Times New Roman"/>
          <w:color w:val="auto"/>
          <w:szCs w:val="32"/>
        </w:rPr>
        <w:t>业绩成果必须符合评审条件中“业绩成果条件”要求，且必须是任现职以来从事专业技术工作所取得的业绩。业绩成果原则上需要提供充分的佐证材料，包括项目（或课题）的名称、项目规模 、等级和工作内容、本人所起作用、完成情况或效果（效益）、获奖及专利情况等，按其重要程度进行降序填列，并在系统内选择符合对应的评审条件项。对具有等待期的课题结题材料，可凭课题立项相关材料先行申报, 并于申报材料上报评审会前将课题结题材料按规定程序补充报送到本职改办。</w:t>
      </w:r>
    </w:p>
    <w:p w14:paraId="75CAE40A">
      <w:pPr>
        <w:widowControl w:val="0"/>
        <w:overflowPunct w:val="0"/>
        <w:spacing w:line="520" w:lineRule="exact"/>
        <w:ind w:firstLine="643" w:firstLineChars="200"/>
        <w:rPr>
          <w:rFonts w:ascii="Times New Roman" w:hAnsi="Times New Roman" w:eastAsia="仿宋_GB2312" w:cs="Times New Roman"/>
          <w:color w:val="auto"/>
          <w:szCs w:val="32"/>
        </w:rPr>
      </w:pPr>
      <w:r>
        <w:rPr>
          <w:rFonts w:ascii="Times New Roman" w:hAnsi="Times New Roman" w:eastAsia="仿宋_GB2312" w:cs="Times New Roman"/>
          <w:b/>
          <w:color w:val="auto"/>
          <w:szCs w:val="32"/>
        </w:rPr>
        <w:t>4.学术成果。</w:t>
      </w:r>
      <w:r>
        <w:rPr>
          <w:rFonts w:ascii="Times New Roman" w:hAnsi="Times New Roman" w:eastAsia="仿宋_GB2312" w:cs="Times New Roman"/>
          <w:color w:val="auto"/>
          <w:szCs w:val="32"/>
        </w:rPr>
        <w:t>申报人提交的论文著作等应符合相关评审条件要求，且必须是取得现有职称以来完成的论文著作等学术成果（不包含任现职期间为完成学历教育而发表的论文或著作）。论文著作包括已发表（即在专业期刊上发表）或未发表的（含决策咨询类信息、项目报告、工作总结、工程方案、设计文件等成果）。</w:t>
      </w:r>
    </w:p>
    <w:p w14:paraId="5B6ECAF3">
      <w:pPr>
        <w:widowControl w:val="0"/>
        <w:overflowPunct w:val="0"/>
        <w:spacing w:line="520" w:lineRule="exact"/>
        <w:ind w:firstLine="640" w:firstLineChars="200"/>
        <w:rPr>
          <w:rFonts w:ascii="Times New Roman" w:hAnsi="Times New Roman" w:eastAsia="仿宋_GB2312" w:cs="Times New Roman"/>
          <w:color w:val="auto"/>
          <w:szCs w:val="32"/>
        </w:rPr>
      </w:pPr>
      <w:r>
        <w:rPr>
          <w:rFonts w:ascii="Times New Roman" w:hAnsi="Times New Roman" w:eastAsia="仿宋_GB2312" w:cs="Times New Roman"/>
          <w:color w:val="auto"/>
          <w:szCs w:val="32"/>
        </w:rPr>
        <w:t>学术成果原则上需要提供充分的佐证材料，并按其重要程度进行降序填列。在期刊发表的论文须同时附上期刊封面、目录、版权页、全文、网站收录截图等。专著需提供封面、目录及内容提要或本人完成的主要章节等。技术工作总结需提供专业技术工作实践相关材料、采纳单位书面评价和认可等相关证明作为附件。对具有等待期的论文发表材料，可凭用稿通知先行申报，并于申报材料上报评审会前将论文公开发表的材料按规定程序补充报送至评委会所在职改办。</w:t>
      </w:r>
    </w:p>
    <w:p w14:paraId="20259591">
      <w:pPr>
        <w:widowControl w:val="0"/>
        <w:overflowPunct w:val="0"/>
        <w:spacing w:line="520" w:lineRule="exact"/>
        <w:ind w:firstLine="643" w:firstLineChars="200"/>
        <w:rPr>
          <w:rFonts w:ascii="Times New Roman" w:hAnsi="Times New Roman" w:eastAsia="仿宋_GB2312" w:cs="Times New Roman"/>
          <w:color w:val="auto"/>
          <w:szCs w:val="32"/>
        </w:rPr>
      </w:pPr>
      <w:r>
        <w:rPr>
          <w:rFonts w:ascii="Times New Roman" w:hAnsi="Times New Roman" w:eastAsia="仿宋_GB2312" w:cs="Times New Roman"/>
          <w:b/>
          <w:color w:val="auto"/>
          <w:kern w:val="10"/>
          <w:szCs w:val="32"/>
        </w:rPr>
        <w:t>申报系统中已设置学术</w:t>
      </w:r>
      <w:bookmarkStart w:id="15" w:name="OLE_LINK40"/>
      <w:bookmarkStart w:id="16" w:name="OLE_LINK41"/>
      <w:bookmarkStart w:id="17" w:name="OLE_LINK32"/>
      <w:r>
        <w:rPr>
          <w:rFonts w:ascii="Times New Roman" w:hAnsi="Times New Roman" w:eastAsia="仿宋_GB2312" w:cs="Times New Roman"/>
          <w:b/>
          <w:color w:val="auto"/>
          <w:kern w:val="10"/>
          <w:szCs w:val="32"/>
        </w:rPr>
        <w:t>风险预警</w:t>
      </w:r>
      <w:bookmarkEnd w:id="15"/>
      <w:bookmarkEnd w:id="16"/>
      <w:r>
        <w:rPr>
          <w:rFonts w:ascii="Times New Roman" w:hAnsi="Times New Roman" w:eastAsia="仿宋_GB2312" w:cs="Times New Roman"/>
          <w:b/>
          <w:color w:val="auto"/>
          <w:kern w:val="10"/>
          <w:szCs w:val="32"/>
        </w:rPr>
        <w:t>功能</w:t>
      </w:r>
      <w:bookmarkEnd w:id="17"/>
      <w:r>
        <w:rPr>
          <w:rFonts w:ascii="Times New Roman" w:hAnsi="Times New Roman" w:eastAsia="仿宋_GB2312" w:cs="Times New Roman"/>
          <w:b/>
          <w:color w:val="auto"/>
          <w:kern w:val="10"/>
          <w:szCs w:val="32"/>
        </w:rPr>
        <w:t>，搭建涉嫌非法出版物数据库，与申报人提交的刊物自动对比，标记风险刊物。申报人应根据提示自行核验，并提供核验相关材料。</w:t>
      </w:r>
      <w:bookmarkStart w:id="18" w:name="OLE_LINK39"/>
      <w:bookmarkStart w:id="19" w:name="OLE_LINK38"/>
      <w:r>
        <w:rPr>
          <w:rFonts w:ascii="Times New Roman" w:hAnsi="Times New Roman" w:eastAsia="仿宋_GB2312" w:cs="Times New Roman"/>
          <w:color w:val="auto"/>
          <w:szCs w:val="32"/>
        </w:rPr>
        <w:t>已发表的论文</w:t>
      </w:r>
      <w:bookmarkEnd w:id="18"/>
      <w:bookmarkEnd w:id="19"/>
      <w:r>
        <w:rPr>
          <w:rFonts w:ascii="Times New Roman" w:hAnsi="Times New Roman" w:eastAsia="仿宋_GB2312" w:cs="Times New Roman"/>
          <w:color w:val="auto"/>
          <w:szCs w:val="32"/>
        </w:rPr>
        <w:t>，在申报系统中上传论文网查的结果或提供核查论文真实性的途径。如发现有抄袭、剽窃、不当署名等学术不端行为，或者论文代写代发、虚假刊发等违纪违规行为的，按人社部发〔2024〕56号文件、《科研失信行为调查处理规则》和桂人社规</w:t>
      </w:r>
      <w:r>
        <w:rPr>
          <w:rFonts w:ascii="Times New Roman" w:hAnsi="Times New Roman" w:eastAsia="仿宋_GB2312" w:cs="Times New Roman"/>
          <w:color w:val="auto"/>
          <w:kern w:val="10"/>
          <w:szCs w:val="32"/>
          <w:lang w:bidi="en-US"/>
        </w:rPr>
        <w:t>〔2021〕</w:t>
      </w:r>
      <w:r>
        <w:rPr>
          <w:rFonts w:ascii="Times New Roman" w:hAnsi="Times New Roman" w:eastAsia="仿宋_GB2312" w:cs="Times New Roman"/>
          <w:color w:val="auto"/>
          <w:szCs w:val="32"/>
        </w:rPr>
        <w:t>11号等有关规定处理。</w:t>
      </w:r>
      <w:bookmarkStart w:id="20" w:name="OLE_LINK37"/>
      <w:r>
        <w:rPr>
          <w:rFonts w:ascii="Times New Roman" w:hAnsi="Times New Roman" w:eastAsia="仿宋_GB2312" w:cs="Times New Roman"/>
          <w:color w:val="auto"/>
          <w:szCs w:val="32"/>
        </w:rPr>
        <w:t>论文发表在非法刊物不能计为参评论文</w:t>
      </w:r>
      <w:bookmarkEnd w:id="20"/>
      <w:r>
        <w:rPr>
          <w:rFonts w:ascii="Times New Roman" w:hAnsi="Times New Roman" w:eastAsia="仿宋_GB2312" w:cs="Times New Roman"/>
          <w:color w:val="auto"/>
          <w:szCs w:val="32"/>
        </w:rPr>
        <w:t>。用人单位和各审核部门要加大论文审查力度，及时共享论文核查方法、途径等信息。</w:t>
      </w:r>
    </w:p>
    <w:p w14:paraId="48D50950">
      <w:pPr>
        <w:widowControl w:val="0"/>
        <w:overflowPunct w:val="0"/>
        <w:spacing w:line="520" w:lineRule="exact"/>
        <w:ind w:firstLine="640" w:firstLineChars="200"/>
        <w:rPr>
          <w:rFonts w:ascii="Times New Roman" w:hAnsi="Times New Roman" w:eastAsia="仿宋_GB2312" w:cs="Times New Roman"/>
          <w:color w:val="auto"/>
          <w:szCs w:val="32"/>
        </w:rPr>
      </w:pPr>
      <w:r>
        <w:rPr>
          <w:rFonts w:ascii="Times New Roman" w:hAnsi="Times New Roman" w:eastAsia="仿宋_GB2312" w:cs="Times New Roman"/>
          <w:color w:val="auto"/>
          <w:szCs w:val="32"/>
        </w:rPr>
        <w:t>根据自治区职改办有关决策咨询类信息激励机制，个人撰写的决策咨询类信息，单篇获党中央、国务院信息刊物采用的视为国家权威期刊报刊1篇，其中获党中央、国务院领导批示的视为国家权威期刊报刊2篇；获党中央、国务院信息刊物综合采用的视为国家权威期刊报刊0.5篇，其中获党中央、国务院领导批示的视为国家权威期刊报刊1篇。个人撰写的决策咨询类信息，单篇获自治区党委、政府信息刊物采用的视为核心期刊1篇，其中获自治区党委、政府主要负责同志批示的视为核心期刊2篇，获自治区党委、政府其他领导批示的视为核心期刊1.5篇；获自治区党委、政府信息刊物综合采用的视为公开发表论文1篇，其中获自治区党委、政府主要负责同志批示的视为核心期刊1篇，获自治区党委、政府其他领导批示的视为核心期刊0.5篇。同一篇决策咨询类信息被不同类别信息刊物采用，以及信息采用后获得领导同志批示的，按最高标准计，不累计。根据信息管理有关规定，以上规定的决策咨询类信息不含部门信息刊物或专项工作信息，决策咨询类信息折算论文情况，以自治区党委信息综合值班室或自治区人民政府办公厅信息处出具的采用告知单为依据，任何其他单位或个人提供的证明不予认可。</w:t>
      </w:r>
    </w:p>
    <w:p w14:paraId="329F2624">
      <w:pPr>
        <w:widowControl w:val="0"/>
        <w:overflowPunct w:val="0"/>
        <w:spacing w:line="520" w:lineRule="exact"/>
        <w:ind w:firstLine="643" w:firstLineChars="200"/>
        <w:rPr>
          <w:rFonts w:ascii="Times New Roman" w:hAnsi="Times New Roman" w:eastAsia="仿宋_GB2312" w:cs="Times New Roman"/>
          <w:color w:val="auto"/>
          <w:szCs w:val="32"/>
        </w:rPr>
      </w:pPr>
      <w:r>
        <w:rPr>
          <w:rFonts w:ascii="Times New Roman" w:hAnsi="Times New Roman" w:eastAsia="楷体_GB2312" w:cs="Times New Roman"/>
          <w:b/>
          <w:color w:val="auto"/>
          <w:szCs w:val="32"/>
        </w:rPr>
        <w:t>（三）辅助材料。</w:t>
      </w:r>
      <w:r>
        <w:rPr>
          <w:rFonts w:ascii="Times New Roman" w:hAnsi="Times New Roman" w:eastAsia="仿宋_GB2312" w:cs="Times New Roman"/>
          <w:color w:val="auto"/>
          <w:szCs w:val="32"/>
        </w:rPr>
        <w:t>特殊情形应提交相应辅助材料，需同一单位出具的证明材料应整合在一份材料中。</w:t>
      </w:r>
    </w:p>
    <w:p w14:paraId="7671B7B5">
      <w:pPr>
        <w:widowControl w:val="0"/>
        <w:overflowPunct w:val="0"/>
        <w:spacing w:line="520" w:lineRule="exact"/>
        <w:ind w:firstLine="640" w:firstLineChars="200"/>
        <w:rPr>
          <w:rFonts w:ascii="Times New Roman" w:hAnsi="Times New Roman" w:eastAsia="仿宋_GB2312" w:cs="Times New Roman"/>
          <w:color w:val="auto"/>
          <w:szCs w:val="32"/>
        </w:rPr>
      </w:pPr>
      <w:r>
        <w:rPr>
          <w:rFonts w:hint="eastAsia" w:ascii="宋体" w:hAnsi="宋体" w:eastAsia="宋体" w:cs="宋体"/>
          <w:color w:val="auto"/>
          <w:szCs w:val="32"/>
        </w:rPr>
        <w:t>⒈</w:t>
      </w:r>
      <w:r>
        <w:rPr>
          <w:rFonts w:ascii="Times New Roman" w:hAnsi="Times New Roman" w:eastAsia="仿宋_GB2312" w:cs="Times New Roman"/>
          <w:color w:val="auto"/>
          <w:szCs w:val="32"/>
        </w:rPr>
        <w:t>符合桂人社规〔2021〕11号文件第十八条等规定的直接申报人员，申报人应填写《无职称人员直接申报专业技术资格审批表》（附件8），并提供符合直接申报条件或相应资历年限的证明材料。</w:t>
      </w:r>
    </w:p>
    <w:p w14:paraId="13A5590A">
      <w:pPr>
        <w:widowControl w:val="0"/>
        <w:overflowPunct w:val="0"/>
        <w:spacing w:line="520" w:lineRule="exact"/>
        <w:ind w:firstLine="640" w:firstLineChars="200"/>
        <w:rPr>
          <w:rFonts w:ascii="Times New Roman" w:hAnsi="Times New Roman" w:eastAsia="仿宋_GB2312" w:cs="Times New Roman"/>
          <w:color w:val="auto"/>
          <w:szCs w:val="32"/>
        </w:rPr>
      </w:pPr>
      <w:r>
        <w:rPr>
          <w:rFonts w:ascii="Times New Roman" w:hAnsi="Times New Roman" w:eastAsia="仿宋_GB2312" w:cs="Times New Roman"/>
          <w:color w:val="auto"/>
          <w:szCs w:val="32"/>
        </w:rPr>
        <w:t>2.破格申报以及使用工程类硕士专业学位提前1年参加相应专业职称评审的申报人员，申报人应填写《专业技术人员破格申报审批表》（附件9），并提供达到破格申报条件的证明材料，连同申报材料一并提交审核，经本职改办审核同意后方可评审。</w:t>
      </w:r>
    </w:p>
    <w:p w14:paraId="33E0B201">
      <w:pPr>
        <w:widowControl w:val="0"/>
        <w:overflowPunct w:val="0"/>
        <w:spacing w:line="520" w:lineRule="exact"/>
        <w:ind w:firstLine="640" w:firstLineChars="200"/>
        <w:rPr>
          <w:rFonts w:ascii="Times New Roman" w:hAnsi="Times New Roman" w:eastAsia="仿宋_GB2312" w:cs="Times New Roman"/>
          <w:color w:val="auto"/>
          <w:szCs w:val="32"/>
        </w:rPr>
      </w:pPr>
      <w:r>
        <w:rPr>
          <w:rFonts w:ascii="Times New Roman" w:hAnsi="Times New Roman" w:eastAsia="仿宋_GB2312" w:cs="Times New Roman"/>
          <w:color w:val="auto"/>
          <w:szCs w:val="32"/>
        </w:rPr>
        <w:t>3.申报人身份证号码应正确填写，因申报人填写错误导致共享数据及关联材料无法查询或印证的，由申报人自行承担相应后果。对使用曾用名、身份证号码非正常升位（变动），关联的证明材料（如学历、职称证书等）与填写身份证信息不一致的，应提供</w:t>
      </w:r>
      <w:r>
        <w:rPr>
          <w:rFonts w:ascii="Times New Roman" w:hAnsi="Times New Roman" w:eastAsia="仿宋_GB2312" w:cs="Times New Roman"/>
          <w:color w:val="auto"/>
          <w:szCs w:val="32"/>
          <w:shd w:val="clear" w:color="auto" w:fill="FFFFFF"/>
        </w:rPr>
        <w:t>户籍管理部门关于两个姓名、身份证号码属于同一人的证明材料。</w:t>
      </w:r>
    </w:p>
    <w:p w14:paraId="27C58C2F">
      <w:pPr>
        <w:widowControl w:val="0"/>
        <w:overflowPunct w:val="0"/>
        <w:spacing w:line="520" w:lineRule="exact"/>
        <w:ind w:firstLine="640" w:firstLineChars="200"/>
        <w:rPr>
          <w:rFonts w:ascii="Times New Roman" w:hAnsi="Times New Roman" w:eastAsia="仿宋_GB2312" w:cs="Times New Roman"/>
          <w:color w:val="auto"/>
          <w:szCs w:val="32"/>
        </w:rPr>
      </w:pPr>
      <w:r>
        <w:rPr>
          <w:rFonts w:ascii="Times New Roman" w:hAnsi="Times New Roman" w:eastAsia="仿宋_GB2312" w:cs="Times New Roman"/>
          <w:color w:val="auto"/>
          <w:szCs w:val="32"/>
        </w:rPr>
        <w:t>4.其他特殊情形，应根据本职改办要求提供相关辅助材料。</w:t>
      </w:r>
    </w:p>
    <w:p w14:paraId="4A3B3360">
      <w:pPr>
        <w:widowControl w:val="0"/>
        <w:overflowPunct w:val="0"/>
        <w:spacing w:line="520" w:lineRule="exact"/>
        <w:ind w:firstLine="640" w:firstLineChars="200"/>
        <w:rPr>
          <w:rFonts w:ascii="Times New Roman" w:hAnsi="Times New Roman" w:eastAsia="黑体" w:cs="Times New Roman"/>
          <w:color w:val="auto"/>
          <w:szCs w:val="32"/>
        </w:rPr>
      </w:pPr>
      <w:r>
        <w:rPr>
          <w:rFonts w:ascii="Times New Roman" w:hAnsi="Times New Roman" w:eastAsia="黑体" w:cs="Times New Roman"/>
          <w:color w:val="auto"/>
          <w:szCs w:val="32"/>
        </w:rPr>
        <w:t>五、申报评审程序及要求</w:t>
      </w:r>
    </w:p>
    <w:p w14:paraId="3031531E">
      <w:pPr>
        <w:widowControl w:val="0"/>
        <w:overflowPunct w:val="0"/>
        <w:spacing w:line="520" w:lineRule="exact"/>
        <w:ind w:firstLine="643" w:firstLineChars="200"/>
        <w:rPr>
          <w:rFonts w:ascii="Times New Roman" w:hAnsi="Times New Roman" w:eastAsia="楷体_GB2312" w:cs="Times New Roman"/>
          <w:b/>
          <w:color w:val="auto"/>
          <w:szCs w:val="32"/>
        </w:rPr>
      </w:pPr>
      <w:bookmarkStart w:id="21" w:name="OLE_LINK52"/>
      <w:r>
        <w:rPr>
          <w:rFonts w:ascii="Times New Roman" w:hAnsi="Times New Roman" w:eastAsia="楷体_GB2312" w:cs="Times New Roman"/>
          <w:b/>
          <w:color w:val="auto"/>
          <w:szCs w:val="32"/>
        </w:rPr>
        <w:t>（一）申报流程</w:t>
      </w:r>
    </w:p>
    <w:bookmarkEnd w:id="21"/>
    <w:p w14:paraId="59704B17">
      <w:pPr>
        <w:widowControl w:val="0"/>
        <w:overflowPunct w:val="0"/>
        <w:spacing w:line="520" w:lineRule="exact"/>
        <w:ind w:firstLine="640" w:firstLineChars="200"/>
        <w:rPr>
          <w:rFonts w:ascii="Times New Roman" w:hAnsi="Times New Roman" w:eastAsia="仿宋_GB2312" w:cs="Times New Roman"/>
          <w:color w:val="auto"/>
          <w:szCs w:val="32"/>
        </w:rPr>
      </w:pPr>
      <w:r>
        <w:rPr>
          <w:rFonts w:ascii="Times New Roman" w:hAnsi="Times New Roman" w:eastAsia="仿宋_GB2312" w:cs="Times New Roman"/>
          <w:color w:val="auto"/>
          <w:szCs w:val="32"/>
        </w:rPr>
        <w:t>申报评审通过网络方式进行。个人申报须经所在单位或人事档案管理部门审核，按照职称分级管理的要求逐级推荐。各有关单位的申报人员按照人员管理和职称评审权限，经本市、县、区职改办或上级主管部门审核，</w:t>
      </w:r>
      <w:r>
        <w:rPr>
          <w:rFonts w:ascii="Times New Roman" w:hAnsi="Times New Roman" w:eastAsia="仿宋_GB2312" w:cs="Times New Roman"/>
          <w:b/>
          <w:color w:val="auto"/>
          <w:szCs w:val="32"/>
        </w:rPr>
        <w:t>推荐报送“南宁市建设工程质量安全协会工程系列住建行业初级/中级职称评审委员会”参评。</w:t>
      </w:r>
    </w:p>
    <w:p w14:paraId="50C19C3D">
      <w:pPr>
        <w:widowControl w:val="0"/>
        <w:overflowPunct w:val="0"/>
        <w:spacing w:line="520" w:lineRule="exact"/>
        <w:ind w:firstLine="643" w:firstLineChars="200"/>
        <w:rPr>
          <w:rFonts w:ascii="Times New Roman" w:hAnsi="Times New Roman" w:eastAsia="仿宋_GB2312" w:cs="Times New Roman"/>
          <w:color w:val="auto"/>
          <w:szCs w:val="32"/>
        </w:rPr>
      </w:pPr>
      <w:r>
        <w:rPr>
          <w:rFonts w:ascii="Times New Roman" w:hAnsi="Times New Roman" w:eastAsia="仿宋_GB2312" w:cs="Times New Roman"/>
          <w:b/>
          <w:color w:val="auto"/>
          <w:szCs w:val="32"/>
        </w:rPr>
        <w:t>总体流程如下：</w:t>
      </w:r>
      <w:r>
        <w:rPr>
          <w:rFonts w:ascii="Times New Roman" w:hAnsi="Times New Roman" w:eastAsia="仿宋_GB2312" w:cs="Times New Roman"/>
          <w:color w:val="auto"/>
          <w:szCs w:val="32"/>
        </w:rPr>
        <w:t>单位注册——个人申报（注册、填写信息、上传有关材料）——单位审核推荐（公示）——主管部门审核（无主管部门的、非公单位人员可略）——县（市）、城区、开发区职改部门审核（市直属单位的、非公单位人员可略）——南宁市建设工程质量安全协会工程系列住建行业职称改革工作领导小组办公室审核——网上缴费——南宁市建设工程质量安全协会工程系列住建行业初级/中级职称评审委员会评审。</w:t>
      </w:r>
    </w:p>
    <w:p w14:paraId="2B14D559">
      <w:pPr>
        <w:widowControl w:val="0"/>
        <w:overflowPunct w:val="0"/>
        <w:spacing w:line="520" w:lineRule="exact"/>
        <w:ind w:firstLine="643" w:firstLineChars="200"/>
        <w:rPr>
          <w:rFonts w:ascii="Times New Roman" w:hAnsi="Times New Roman" w:eastAsia="楷体_GB2312" w:cs="Times New Roman"/>
          <w:b/>
          <w:color w:val="auto"/>
          <w:szCs w:val="32"/>
        </w:rPr>
      </w:pPr>
      <w:r>
        <w:rPr>
          <w:rFonts w:ascii="Times New Roman" w:hAnsi="Times New Roman" w:eastAsia="楷体_GB2312" w:cs="Times New Roman"/>
          <w:b/>
          <w:color w:val="auto"/>
          <w:szCs w:val="32"/>
        </w:rPr>
        <w:t>（二）个人申报</w:t>
      </w:r>
    </w:p>
    <w:p w14:paraId="0E40B729">
      <w:pPr>
        <w:widowControl w:val="0"/>
        <w:overflowPunct w:val="0"/>
        <w:spacing w:line="520" w:lineRule="exact"/>
        <w:ind w:firstLine="640" w:firstLineChars="200"/>
        <w:rPr>
          <w:rFonts w:ascii="Times New Roman" w:hAnsi="Times New Roman" w:eastAsia="仿宋_GB2312" w:cs="Times New Roman"/>
          <w:color w:val="auto"/>
          <w:szCs w:val="32"/>
        </w:rPr>
      </w:pPr>
      <w:r>
        <w:rPr>
          <w:rFonts w:ascii="Times New Roman" w:hAnsi="Times New Roman" w:eastAsia="仿宋_GB2312" w:cs="Times New Roman"/>
          <w:color w:val="auto"/>
          <w:szCs w:val="32"/>
        </w:rPr>
        <w:t>1.申报人登录南宁市建设工程质量安全协会网站（https://www.nnjsza.com/）查阅职称评审工作通知及相关评审政策等文件信息。</w:t>
      </w:r>
    </w:p>
    <w:p w14:paraId="44424A62">
      <w:pPr>
        <w:widowControl w:val="0"/>
        <w:overflowPunct w:val="0"/>
        <w:spacing w:line="520" w:lineRule="exact"/>
        <w:ind w:firstLine="640" w:firstLineChars="200"/>
        <w:rPr>
          <w:rFonts w:ascii="Times New Roman" w:hAnsi="Times New Roman" w:eastAsia="仿宋_GB2312" w:cs="Times New Roman"/>
          <w:bCs/>
          <w:color w:val="auto"/>
          <w:szCs w:val="32"/>
        </w:rPr>
      </w:pPr>
      <w:r>
        <w:rPr>
          <w:rFonts w:ascii="Times New Roman" w:hAnsi="Times New Roman" w:eastAsia="仿宋_GB2312" w:cs="Times New Roman"/>
          <w:color w:val="auto"/>
          <w:szCs w:val="32"/>
        </w:rPr>
        <w:t>2.</w:t>
      </w:r>
      <w:r>
        <w:rPr>
          <w:rFonts w:ascii="Times New Roman" w:hAnsi="Times New Roman" w:eastAsia="仿宋_GB2312" w:cs="Times New Roman"/>
          <w:b/>
          <w:color w:val="auto"/>
          <w:szCs w:val="32"/>
        </w:rPr>
        <w:t>申报人登录南宁市人力资源和社会保障局（以下简称</w:t>
      </w:r>
      <w:bookmarkStart w:id="22" w:name="OLE_LINK60"/>
      <w:bookmarkStart w:id="23" w:name="OLE_LINK61"/>
      <w:r>
        <w:rPr>
          <w:rFonts w:ascii="Times New Roman" w:hAnsi="Times New Roman" w:eastAsia="仿宋_GB2312" w:cs="Times New Roman"/>
          <w:b/>
          <w:color w:val="auto"/>
          <w:szCs w:val="32"/>
        </w:rPr>
        <w:t>南宁市人社局</w:t>
      </w:r>
      <w:bookmarkEnd w:id="22"/>
      <w:bookmarkEnd w:id="23"/>
      <w:r>
        <w:rPr>
          <w:rFonts w:ascii="Times New Roman" w:hAnsi="Times New Roman" w:eastAsia="仿宋_GB2312" w:cs="Times New Roman"/>
          <w:b/>
          <w:color w:val="auto"/>
          <w:szCs w:val="32"/>
        </w:rPr>
        <w:t>）网站进行网上申报</w:t>
      </w:r>
      <w:r>
        <w:rPr>
          <w:rFonts w:ascii="Times New Roman" w:hAnsi="Times New Roman" w:eastAsia="仿宋_GB2312" w:cs="Times New Roman"/>
          <w:bCs/>
          <w:color w:val="auto"/>
          <w:szCs w:val="32"/>
        </w:rPr>
        <w:t>，</w:t>
      </w:r>
      <w:r>
        <w:rPr>
          <w:rFonts w:ascii="Times New Roman" w:hAnsi="Times New Roman" w:eastAsia="仿宋_GB2312" w:cs="Times New Roman"/>
          <w:b/>
          <w:color w:val="auto"/>
          <w:szCs w:val="32"/>
        </w:rPr>
        <w:t>登录方式：</w:t>
      </w:r>
      <w:r>
        <w:rPr>
          <w:rFonts w:ascii="Times New Roman" w:hAnsi="Times New Roman" w:eastAsia="仿宋_GB2312" w:cs="Times New Roman"/>
          <w:bCs/>
          <w:color w:val="auto"/>
          <w:szCs w:val="32"/>
        </w:rPr>
        <w:t>南宁市人社局网站</w:t>
      </w:r>
      <w:r>
        <w:rPr>
          <w:color w:val="auto"/>
        </w:rPr>
        <w:fldChar w:fldCharType="begin"/>
      </w:r>
      <w:r>
        <w:rPr>
          <w:color w:val="auto"/>
        </w:rPr>
        <w:instrText xml:space="preserve"> HYPERLINK "http://rsj.nanning.gov.cn—" </w:instrText>
      </w:r>
      <w:r>
        <w:rPr>
          <w:color w:val="auto"/>
        </w:rPr>
        <w:fldChar w:fldCharType="separate"/>
      </w:r>
      <w:bookmarkStart w:id="24" w:name="OLE_LINK25"/>
      <w:r>
        <w:rPr>
          <w:rStyle w:val="12"/>
          <w:rFonts w:ascii="Times New Roman" w:hAnsi="Times New Roman" w:eastAsia="仿宋_GB2312" w:cs="Times New Roman"/>
          <w:bCs/>
          <w:color w:val="auto"/>
          <w:szCs w:val="32"/>
          <w:u w:val="none"/>
        </w:rPr>
        <w:t>http://rsj.nanning.gov.cn</w:t>
      </w:r>
      <w:bookmarkEnd w:id="24"/>
      <w:r>
        <w:rPr>
          <w:rStyle w:val="12"/>
          <w:rFonts w:ascii="Times New Roman" w:hAnsi="Times New Roman" w:eastAsia="仿宋_GB2312" w:cs="Times New Roman"/>
          <w:bCs/>
          <w:color w:val="auto"/>
          <w:szCs w:val="32"/>
          <w:u w:val="none"/>
        </w:rPr>
        <w:t>—</w:t>
      </w:r>
      <w:r>
        <w:rPr>
          <w:rStyle w:val="12"/>
          <w:rFonts w:ascii="Times New Roman" w:hAnsi="Times New Roman" w:eastAsia="仿宋_GB2312" w:cs="Times New Roman"/>
          <w:bCs/>
          <w:color w:val="auto"/>
          <w:szCs w:val="32"/>
          <w:u w:val="none"/>
        </w:rPr>
        <w:fldChar w:fldCharType="end"/>
      </w:r>
      <w:r>
        <w:rPr>
          <w:rFonts w:ascii="Times New Roman" w:hAnsi="Times New Roman" w:eastAsia="仿宋_GB2312" w:cs="Times New Roman"/>
          <w:bCs/>
          <w:color w:val="auto"/>
          <w:szCs w:val="32"/>
        </w:rPr>
        <w:t>网上办事大厅—点击图标“南宁市2025年职称评审入口”—注册/登陆，严格按照职称申报平台提示的各要素及材料清单的填报要求，准确完整填写好个人申报材料。</w:t>
      </w:r>
    </w:p>
    <w:p w14:paraId="62DF7BDA">
      <w:pPr>
        <w:widowControl w:val="0"/>
        <w:overflowPunct w:val="0"/>
        <w:spacing w:line="520" w:lineRule="exact"/>
        <w:ind w:firstLine="640" w:firstLineChars="200"/>
        <w:rPr>
          <w:rFonts w:ascii="Times New Roman" w:hAnsi="Times New Roman" w:eastAsia="仿宋_GB2312" w:cs="Times New Roman"/>
          <w:color w:val="auto"/>
          <w:szCs w:val="32"/>
        </w:rPr>
      </w:pPr>
      <w:r>
        <w:rPr>
          <w:rFonts w:ascii="Times New Roman" w:hAnsi="Times New Roman" w:eastAsia="仿宋_GB2312" w:cs="Times New Roman"/>
          <w:color w:val="auto"/>
          <w:szCs w:val="32"/>
        </w:rPr>
        <w:t>3.申报人需随时关注短信和系统审核反馈消息，如申报材料被退回，应及时根据反馈意见完善申报材料并再次上报（申报人应填写准确无误的本人现用手机号码，以便及时接收相关信息）。因申报人未能及时将职改部门退回的申报材料完善后上报的，后果由申报个人承担。</w:t>
      </w:r>
    </w:p>
    <w:p w14:paraId="023C37F3">
      <w:pPr>
        <w:widowControl w:val="0"/>
        <w:overflowPunct w:val="0"/>
        <w:spacing w:line="520" w:lineRule="exact"/>
        <w:ind w:firstLine="640" w:firstLineChars="200"/>
        <w:rPr>
          <w:rFonts w:ascii="Times New Roman" w:hAnsi="Times New Roman" w:eastAsia="仿宋_GB2312" w:cs="Times New Roman"/>
          <w:color w:val="auto"/>
          <w:szCs w:val="32"/>
        </w:rPr>
      </w:pPr>
      <w:r>
        <w:rPr>
          <w:rFonts w:ascii="Times New Roman" w:hAnsi="Times New Roman" w:eastAsia="仿宋_GB2312" w:cs="Times New Roman"/>
          <w:color w:val="auto"/>
          <w:szCs w:val="32"/>
        </w:rPr>
        <w:t>4.申报专业应按评委会设定的专业要求选择，专业确定上报后不得更改。</w:t>
      </w:r>
    </w:p>
    <w:p w14:paraId="5ACEADC2">
      <w:pPr>
        <w:widowControl w:val="0"/>
        <w:overflowPunct w:val="0"/>
        <w:spacing w:line="520" w:lineRule="exact"/>
        <w:ind w:firstLine="640" w:firstLineChars="200"/>
        <w:rPr>
          <w:rFonts w:ascii="Times New Roman" w:hAnsi="Times New Roman" w:eastAsia="仿宋_GB2312" w:cs="Times New Roman"/>
          <w:color w:val="auto"/>
          <w:szCs w:val="32"/>
        </w:rPr>
      </w:pPr>
      <w:r>
        <w:rPr>
          <w:rFonts w:ascii="Times New Roman" w:hAnsi="Times New Roman" w:eastAsia="仿宋_GB2312" w:cs="Times New Roman"/>
          <w:color w:val="auto"/>
          <w:szCs w:val="32"/>
        </w:rPr>
        <w:t>5.所有申报证明材料原则上应提供原件扫描件，并按系统规定位置上传材料，电子档案必须清晰可见、相关附件材料必须是正面向上。因申报个人上传材料出现漏报、错报或未放指定位置导致的后果，由申报个人承担。</w:t>
      </w:r>
    </w:p>
    <w:p w14:paraId="46DB5128">
      <w:pPr>
        <w:widowControl w:val="0"/>
        <w:overflowPunct w:val="0"/>
        <w:spacing w:line="520" w:lineRule="exact"/>
        <w:ind w:firstLine="643" w:firstLineChars="200"/>
        <w:rPr>
          <w:rFonts w:ascii="Times New Roman" w:hAnsi="Times New Roman" w:eastAsia="楷体_GB2312" w:cs="Times New Roman"/>
          <w:b/>
          <w:color w:val="auto"/>
          <w:szCs w:val="32"/>
        </w:rPr>
      </w:pPr>
      <w:r>
        <w:rPr>
          <w:rFonts w:ascii="Times New Roman" w:hAnsi="Times New Roman" w:eastAsia="楷体_GB2312" w:cs="Times New Roman"/>
          <w:b/>
          <w:color w:val="auto"/>
          <w:szCs w:val="32"/>
        </w:rPr>
        <w:t>（三）单位审核推荐</w:t>
      </w:r>
    </w:p>
    <w:p w14:paraId="7538EC75">
      <w:pPr>
        <w:widowControl w:val="0"/>
        <w:spacing w:line="520" w:lineRule="exact"/>
        <w:ind w:firstLine="643" w:firstLineChars="200"/>
        <w:rPr>
          <w:rFonts w:ascii="Times New Roman" w:hAnsi="Times New Roman" w:eastAsia="仿宋_GB2312" w:cs="Times New Roman"/>
          <w:color w:val="auto"/>
          <w:szCs w:val="32"/>
        </w:rPr>
      </w:pPr>
      <w:r>
        <w:rPr>
          <w:rFonts w:ascii="Times New Roman" w:hAnsi="Times New Roman" w:eastAsia="仿宋_GB2312" w:cs="Times New Roman"/>
          <w:b/>
          <w:color w:val="auto"/>
          <w:szCs w:val="32"/>
        </w:rPr>
        <w:t>各单位（部门）的审核责任人，登录南宁市人社局网站</w:t>
      </w:r>
      <w:r>
        <w:rPr>
          <w:rFonts w:ascii="Times New Roman" w:hAnsi="Times New Roman" w:eastAsia="仿宋_GB2312" w:cs="Times New Roman"/>
          <w:b/>
          <w:bCs/>
          <w:color w:val="auto"/>
          <w:szCs w:val="32"/>
        </w:rPr>
        <w:t>网上办事大厅</w:t>
      </w:r>
      <w:r>
        <w:rPr>
          <w:rFonts w:ascii="Times New Roman" w:hAnsi="Times New Roman" w:eastAsia="仿宋_GB2312" w:cs="Times New Roman"/>
          <w:b/>
          <w:color w:val="auto"/>
          <w:szCs w:val="32"/>
        </w:rPr>
        <w:t>，</w:t>
      </w:r>
      <w:r>
        <w:rPr>
          <w:rFonts w:ascii="Times New Roman" w:hAnsi="Times New Roman" w:eastAsia="仿宋_GB2312" w:cs="Times New Roman"/>
          <w:color w:val="auto"/>
          <w:szCs w:val="32"/>
        </w:rPr>
        <w:t>对申报人申报材料进行审核推荐。审核工作中，可完成一个报送一个，无需批量报送。各审核单位（部门）要随时关注所负责的申报人员材料被退回的情况，并督促申报人员按要求完善申报材料后再次上报。</w:t>
      </w:r>
    </w:p>
    <w:p w14:paraId="262A54A2">
      <w:pPr>
        <w:widowControl w:val="0"/>
        <w:overflowPunct w:val="0"/>
        <w:spacing w:line="520" w:lineRule="exact"/>
        <w:ind w:firstLine="643" w:firstLineChars="200"/>
        <w:rPr>
          <w:rFonts w:ascii="Times New Roman" w:hAnsi="Times New Roman" w:eastAsia="仿宋_GB2312" w:cs="Times New Roman"/>
          <w:color w:val="auto"/>
          <w:szCs w:val="32"/>
        </w:rPr>
      </w:pPr>
      <w:r>
        <w:rPr>
          <w:rFonts w:ascii="Times New Roman" w:hAnsi="Times New Roman" w:eastAsia="仿宋_GB2312" w:cs="Times New Roman"/>
          <w:b/>
          <w:color w:val="auto"/>
          <w:szCs w:val="32"/>
        </w:rPr>
        <w:t>1.单位审核。</w:t>
      </w:r>
      <w:r>
        <w:rPr>
          <w:rFonts w:ascii="Times New Roman" w:hAnsi="Times New Roman" w:eastAsia="仿宋_GB2312" w:cs="Times New Roman"/>
          <w:color w:val="auto"/>
          <w:szCs w:val="32"/>
        </w:rPr>
        <w:t>用人单位要切实履行好推荐申报主体责任，加大对申报人员材料真实性和完整性审查力度，明确审查责任人，签署承诺书，落实审核责任。用人单位要加强对学术成果的审查核验，加大对标记风险刊物的审核力度。对申报人的学历、资历、专业技术工作经历、业绩成果和论文著作等材料，由审核推荐单位审核原件并核实真实性后，在申报系统据实填写审核结果。审核时，在系统上逐年填写申报人员近五年合格等次以上年度考核情况（工作未满5年按实际工作年限填写）。属于档案托管的，申报人所在工作单位和档案管理部门应根据各自所掌握申报材料情况，分别对上述材料的真实性进行审核把关，并承担相应责任。</w:t>
      </w:r>
    </w:p>
    <w:p w14:paraId="64B33CDB">
      <w:pPr>
        <w:widowControl w:val="0"/>
        <w:overflowPunct w:val="0"/>
        <w:spacing w:line="520" w:lineRule="exact"/>
        <w:ind w:firstLine="643" w:firstLineChars="200"/>
        <w:rPr>
          <w:rFonts w:ascii="Times New Roman" w:hAnsi="Times New Roman" w:eastAsia="仿宋_GB2312" w:cs="Times New Roman"/>
          <w:color w:val="auto"/>
          <w:szCs w:val="32"/>
        </w:rPr>
      </w:pPr>
      <w:r>
        <w:rPr>
          <w:rFonts w:ascii="Times New Roman" w:hAnsi="Times New Roman" w:eastAsia="仿宋_GB2312" w:cs="Times New Roman"/>
          <w:b/>
          <w:color w:val="auto"/>
          <w:szCs w:val="32"/>
        </w:rPr>
        <w:t>2.组织审议。</w:t>
      </w:r>
      <w:r>
        <w:rPr>
          <w:rFonts w:ascii="Times New Roman" w:hAnsi="Times New Roman" w:eastAsia="仿宋_GB2312" w:cs="Times New Roman"/>
          <w:color w:val="auto"/>
          <w:szCs w:val="32"/>
        </w:rPr>
        <w:t>申报人所在工作单位成立职称审议推荐小组，负责对符合评审条件的申报人进行审议。审议推荐小组进行审议后，据实填写审议推荐意见，经审议推荐小组组长签字、加盖单位公章后在系统内上传原件扫描件，并附上评议会专家名单及职称信息材料扫描件</w:t>
      </w:r>
      <w:r>
        <w:rPr>
          <w:rFonts w:ascii="Times New Roman" w:hAnsi="Times New Roman" w:eastAsia="仿宋_GB2312" w:cs="Times New Roman"/>
          <w:color w:val="auto"/>
          <w:szCs w:val="32"/>
          <w:shd w:val="clear" w:color="auto" w:fill="FFFFFF"/>
        </w:rPr>
        <w:t>（模版见附件10）</w:t>
      </w:r>
      <w:r>
        <w:rPr>
          <w:rFonts w:ascii="Times New Roman" w:hAnsi="Times New Roman" w:eastAsia="仿宋_GB2312" w:cs="Times New Roman"/>
          <w:color w:val="auto"/>
          <w:szCs w:val="32"/>
        </w:rPr>
        <w:t>。审议推荐意见应对申报人的德才表现、学术技术水平、业绩成果、考评情况等方面给予评价，并通过无记名投票方式进行表决，推荐人选获同意推荐票数应超过投票总数的2/3，需明确是否同意推荐。对申报人的学历、资历、专业技术工作经历、业绩成果和论文著作等材料，由审核推荐单位审核原件并核实真实性后，在申报系统据实填写审核结果。</w:t>
      </w:r>
    </w:p>
    <w:p w14:paraId="55159B27">
      <w:pPr>
        <w:widowControl w:val="0"/>
        <w:overflowPunct w:val="0"/>
        <w:spacing w:line="520" w:lineRule="exact"/>
        <w:ind w:firstLine="643" w:firstLineChars="200"/>
        <w:rPr>
          <w:rFonts w:ascii="Times New Roman" w:hAnsi="Times New Roman" w:eastAsia="仿宋_GB2312" w:cs="Times New Roman"/>
          <w:color w:val="auto"/>
          <w:szCs w:val="32"/>
        </w:rPr>
      </w:pPr>
      <w:r>
        <w:rPr>
          <w:rFonts w:ascii="Times New Roman" w:hAnsi="Times New Roman" w:eastAsia="仿宋_GB2312" w:cs="Times New Roman"/>
          <w:b/>
          <w:color w:val="auto"/>
          <w:szCs w:val="32"/>
        </w:rPr>
        <w:t>审议推荐小组一般由单位领导和专业技术人员5或7人组成，专业技术人员不得少于2/3（5人组成的审议推荐小组专业技术人员至少4人；7人组成的至少5人）。参加审议推荐小组的专业技术人员，原则上应具有中级及以上级别的职称。</w:t>
      </w:r>
      <w:r>
        <w:rPr>
          <w:rFonts w:ascii="Times New Roman" w:hAnsi="Times New Roman" w:eastAsia="仿宋_GB2312" w:cs="Times New Roman"/>
          <w:bCs/>
          <w:color w:val="auto"/>
          <w:szCs w:val="32"/>
        </w:rPr>
        <w:t>审议推荐可以邀请外单位专家或委托外单位进行。</w:t>
      </w:r>
    </w:p>
    <w:p w14:paraId="1920DB17">
      <w:pPr>
        <w:widowControl w:val="0"/>
        <w:overflowPunct w:val="0"/>
        <w:spacing w:line="520" w:lineRule="exact"/>
        <w:ind w:firstLine="643" w:firstLineChars="200"/>
        <w:rPr>
          <w:rFonts w:ascii="Times New Roman" w:hAnsi="Times New Roman" w:eastAsia="仿宋_GB2312" w:cs="Times New Roman"/>
          <w:color w:val="auto"/>
          <w:szCs w:val="32"/>
        </w:rPr>
      </w:pPr>
      <w:r>
        <w:rPr>
          <w:rFonts w:ascii="Times New Roman" w:hAnsi="Times New Roman" w:eastAsia="仿宋_GB2312" w:cs="Times New Roman"/>
          <w:b/>
          <w:color w:val="auto"/>
          <w:szCs w:val="32"/>
        </w:rPr>
        <w:t>3.单位内部公示。</w:t>
      </w:r>
      <w:r>
        <w:rPr>
          <w:rFonts w:ascii="Times New Roman" w:hAnsi="Times New Roman" w:eastAsia="仿宋_GB2312" w:cs="Times New Roman"/>
          <w:color w:val="auto"/>
          <w:szCs w:val="32"/>
        </w:rPr>
        <w:t>对拟推荐对象在单位内部进行公示，</w:t>
      </w:r>
      <w:r>
        <w:rPr>
          <w:rFonts w:ascii="Times New Roman" w:hAnsi="Times New Roman" w:eastAsia="仿宋_GB2312" w:cs="Times New Roman"/>
          <w:b/>
          <w:color w:val="auto"/>
          <w:szCs w:val="32"/>
        </w:rPr>
        <w:t>公示和补充公示期均不得少于5个工作日。公示材料包括：</w:t>
      </w:r>
      <w:r>
        <w:rPr>
          <w:rFonts w:ascii="Times New Roman" w:hAnsi="Times New Roman" w:eastAsia="仿宋_GB2312" w:cs="Times New Roman"/>
          <w:color w:val="auto"/>
          <w:szCs w:val="32"/>
        </w:rPr>
        <w:t>推荐对象名称（姓名、学历、现有职称及取得时间、申报资格名称、申报专业）、专业技术工作经历（能力）、业绩成果及著作、论文等申报材料。</w:t>
      </w:r>
      <w:r>
        <w:rPr>
          <w:rFonts w:ascii="Times New Roman" w:hAnsi="Times New Roman" w:eastAsia="仿宋_GB2312" w:cs="Times New Roman"/>
          <w:b/>
          <w:color w:val="auto"/>
          <w:szCs w:val="32"/>
        </w:rPr>
        <w:t>申报材料清单中注明“不可缺少的硬件材料”中的任何一项如有缺少，不得进行公示。</w:t>
      </w:r>
      <w:r>
        <w:rPr>
          <w:rFonts w:ascii="Times New Roman" w:hAnsi="Times New Roman" w:eastAsia="仿宋_GB2312" w:cs="Times New Roman"/>
          <w:color w:val="auto"/>
          <w:szCs w:val="32"/>
        </w:rPr>
        <w:t>公示完成后，如果申报情况或申报材料发生变更，应根据变更情况进行补充公示，</w:t>
      </w:r>
      <w:r>
        <w:rPr>
          <w:rFonts w:ascii="Times New Roman" w:hAnsi="Times New Roman" w:eastAsia="仿宋_GB2312" w:cs="Times New Roman"/>
          <w:b/>
          <w:color w:val="auto"/>
          <w:szCs w:val="32"/>
        </w:rPr>
        <w:t>补充公示情况须在申报系统据实填写。</w:t>
      </w:r>
      <w:r>
        <w:rPr>
          <w:rFonts w:ascii="Times New Roman" w:hAnsi="Times New Roman" w:eastAsia="仿宋_GB2312" w:cs="Times New Roman"/>
          <w:color w:val="auto"/>
          <w:szCs w:val="32"/>
        </w:rPr>
        <w:t>未按上述要求进行公示的申报材料一律不予受理。</w:t>
      </w:r>
    </w:p>
    <w:p w14:paraId="212C47E5">
      <w:pPr>
        <w:widowControl w:val="0"/>
        <w:overflowPunct w:val="0"/>
        <w:spacing w:line="520" w:lineRule="exact"/>
        <w:ind w:firstLine="643" w:firstLineChars="200"/>
        <w:rPr>
          <w:rFonts w:ascii="Times New Roman" w:hAnsi="Times New Roman" w:eastAsia="仿宋_GB2312" w:cs="Times New Roman"/>
          <w:color w:val="auto"/>
          <w:szCs w:val="32"/>
        </w:rPr>
      </w:pPr>
      <w:r>
        <w:rPr>
          <w:rFonts w:ascii="Times New Roman" w:hAnsi="Times New Roman" w:eastAsia="仿宋_GB2312" w:cs="Times New Roman"/>
          <w:b/>
          <w:color w:val="auto"/>
          <w:szCs w:val="32"/>
        </w:rPr>
        <w:t>4.单位推荐。</w:t>
      </w:r>
      <w:r>
        <w:rPr>
          <w:rFonts w:ascii="Times New Roman" w:hAnsi="Times New Roman" w:eastAsia="仿宋_GB2312" w:cs="Times New Roman"/>
          <w:color w:val="auto"/>
          <w:szCs w:val="32"/>
        </w:rPr>
        <w:t>单位对审议通过且公示无异议的申报人出具单位推荐意见，推荐意见应明确是否同意推荐、材料是否属实。申报人不符合申报条件或审议不通过，单位没有出具推荐意见或出具不同意推荐意见，以及有其他不宜推荐情形的，单位不得推荐。</w:t>
      </w:r>
    </w:p>
    <w:p w14:paraId="5B64B476">
      <w:pPr>
        <w:widowControl w:val="0"/>
        <w:overflowPunct w:val="0"/>
        <w:spacing w:line="520" w:lineRule="exact"/>
        <w:ind w:firstLine="640" w:firstLineChars="200"/>
        <w:rPr>
          <w:rFonts w:ascii="Times New Roman" w:hAnsi="Times New Roman" w:eastAsia="仿宋_GB2312" w:cs="Times New Roman"/>
          <w:color w:val="auto"/>
          <w:szCs w:val="32"/>
        </w:rPr>
      </w:pPr>
      <w:r>
        <w:rPr>
          <w:rFonts w:ascii="Times New Roman" w:hAnsi="Times New Roman" w:eastAsia="仿宋_GB2312" w:cs="Times New Roman"/>
          <w:color w:val="auto"/>
          <w:szCs w:val="32"/>
        </w:rPr>
        <w:t>对推荐至评委会的申报材料，基层单位推荐人选，在审核中发现不符合条件人员占比达到或超过本单位申报总数10%的，由推荐单位作出说明，主管部门应在本系统内对该单位进行通报。主管部门审核推荐人选，在评审中发现不符合条件人数占比达到或超过</w:t>
      </w:r>
      <w:bookmarkStart w:id="25" w:name="OLE_LINK4"/>
      <w:bookmarkStart w:id="26" w:name="OLE_LINK5"/>
      <w:r>
        <w:rPr>
          <w:rFonts w:ascii="Times New Roman" w:hAnsi="Times New Roman" w:eastAsia="仿宋_GB2312" w:cs="Times New Roman"/>
          <w:color w:val="auto"/>
          <w:szCs w:val="32"/>
        </w:rPr>
        <w:t>主管部门审核推荐20%</w:t>
      </w:r>
      <w:bookmarkEnd w:id="25"/>
      <w:bookmarkEnd w:id="26"/>
      <w:r>
        <w:rPr>
          <w:rFonts w:ascii="Times New Roman" w:hAnsi="Times New Roman" w:eastAsia="仿宋_GB2312" w:cs="Times New Roman"/>
          <w:color w:val="auto"/>
          <w:szCs w:val="32"/>
        </w:rPr>
        <w:t>的，由推荐单位作出说明并报送书面整改方案，各级评委会将在本领域范围内对该主管部门予以通报，视情况可暂停该推荐单位次年推荐申报权限。</w:t>
      </w:r>
    </w:p>
    <w:p w14:paraId="488CF951">
      <w:pPr>
        <w:widowControl w:val="0"/>
        <w:overflowPunct w:val="0"/>
        <w:spacing w:line="520" w:lineRule="exact"/>
        <w:ind w:firstLine="643" w:firstLineChars="200"/>
        <w:rPr>
          <w:rFonts w:ascii="Times New Roman" w:hAnsi="Times New Roman" w:eastAsia="仿宋_GB2312" w:cs="Times New Roman"/>
          <w:color w:val="auto"/>
          <w:szCs w:val="32"/>
        </w:rPr>
      </w:pPr>
      <w:r>
        <w:rPr>
          <w:rFonts w:ascii="Times New Roman" w:hAnsi="Times New Roman" w:eastAsia="仿宋_GB2312" w:cs="Times New Roman"/>
          <w:b/>
          <w:color w:val="auto"/>
          <w:szCs w:val="32"/>
        </w:rPr>
        <w:t>5.主管部门审核。</w:t>
      </w:r>
      <w:r>
        <w:rPr>
          <w:rFonts w:ascii="Times New Roman" w:hAnsi="Times New Roman" w:eastAsia="仿宋_GB2312" w:cs="Times New Roman"/>
          <w:color w:val="auto"/>
          <w:szCs w:val="32"/>
        </w:rPr>
        <w:t>主管部门要按权限对所属单位审核推荐工作进行指导、监督、审核和纠错，加强对单位的推荐程序、推荐材料真实性和填报材料规范性等方面的审核并承担审核责任。严禁将不符合评审条件及申报程序不完整、不规范的申报材料报送评委会评审。</w:t>
      </w:r>
    </w:p>
    <w:p w14:paraId="725260EC">
      <w:pPr>
        <w:widowControl w:val="0"/>
        <w:overflowPunct w:val="0"/>
        <w:spacing w:line="520" w:lineRule="exact"/>
        <w:ind w:firstLine="643" w:firstLineChars="200"/>
        <w:rPr>
          <w:rFonts w:ascii="Times New Roman" w:hAnsi="Times New Roman" w:eastAsia="楷体_GB2312" w:cs="Times New Roman"/>
          <w:b/>
          <w:color w:val="auto"/>
          <w:szCs w:val="32"/>
        </w:rPr>
      </w:pPr>
      <w:r>
        <w:rPr>
          <w:rFonts w:ascii="Times New Roman" w:hAnsi="Times New Roman" w:eastAsia="楷体_GB2312" w:cs="Times New Roman"/>
          <w:b/>
          <w:color w:val="auto"/>
          <w:szCs w:val="32"/>
        </w:rPr>
        <w:t>（四）</w:t>
      </w:r>
      <w:r>
        <w:rPr>
          <w:rFonts w:ascii="Times New Roman" w:hAnsi="Times New Roman" w:eastAsia="楷体_GB2312" w:cs="Times New Roman"/>
          <w:b/>
          <w:bCs/>
          <w:color w:val="auto"/>
          <w:szCs w:val="32"/>
          <w:shd w:val="clear" w:color="auto" w:fill="FFFFFF"/>
        </w:rPr>
        <w:t>职改部门审核审查</w:t>
      </w:r>
    </w:p>
    <w:p w14:paraId="6233856B">
      <w:pPr>
        <w:widowControl w:val="0"/>
        <w:overflowPunct w:val="0"/>
        <w:spacing w:line="520" w:lineRule="exact"/>
        <w:ind w:firstLine="640" w:firstLineChars="200"/>
        <w:rPr>
          <w:rFonts w:ascii="Times New Roman" w:hAnsi="Times New Roman" w:eastAsia="仿宋_GB2312" w:cs="Times New Roman"/>
          <w:color w:val="auto"/>
          <w:szCs w:val="32"/>
        </w:rPr>
      </w:pPr>
      <w:r>
        <w:rPr>
          <w:rFonts w:ascii="Times New Roman" w:hAnsi="Times New Roman" w:eastAsia="仿宋_GB2312" w:cs="Times New Roman"/>
          <w:color w:val="auto"/>
          <w:szCs w:val="32"/>
        </w:rPr>
        <w:t> </w:t>
      </w:r>
      <w:r>
        <w:rPr>
          <w:rFonts w:ascii="Times New Roman" w:hAnsi="Times New Roman" w:eastAsia="仿宋_GB2312" w:cs="Times New Roman"/>
          <w:color w:val="auto"/>
          <w:szCs w:val="32"/>
          <w:shd w:val="clear" w:color="auto" w:fill="FFFFFF"/>
        </w:rPr>
        <w:t>职改部门负责审查申报单位和主管部门履职情况，重点审核推荐程序、材料完整性和规范性、推荐对象基本条件、主要经历和业绩成果等，严禁将程序不规范、材料不完整、推荐对象基本条件不符合、单位推荐意见不明确或不予推荐等申报材料报送评委会评审。</w:t>
      </w:r>
      <w:r>
        <w:rPr>
          <w:rFonts w:ascii="Times New Roman" w:hAnsi="Times New Roman" w:eastAsia="仿宋_GB2312" w:cs="Times New Roman"/>
          <w:color w:val="auto"/>
          <w:szCs w:val="32"/>
        </w:rPr>
        <w:t>职改部门要加强对直接申报和破格申报情形的审核，直接申报要重点审核从事专业技术工作年限；破格申报为放宽学历或资历条件。经审核，申报材料不符合规定条件的，实行一次性告知制度，明确补正材料的内容和时限要求。逾期未补充的，视为放弃申报。未按规定时间或程序上报申报材料的，不予受理。</w:t>
      </w:r>
    </w:p>
    <w:p w14:paraId="7E55778B">
      <w:pPr>
        <w:widowControl w:val="0"/>
        <w:overflowPunct w:val="0"/>
        <w:spacing w:line="520" w:lineRule="exact"/>
        <w:ind w:firstLine="643" w:firstLineChars="200"/>
        <w:rPr>
          <w:rFonts w:ascii="Times New Roman" w:hAnsi="Times New Roman" w:eastAsia="楷体_GB2312" w:cs="Times New Roman"/>
          <w:b/>
          <w:color w:val="auto"/>
          <w:szCs w:val="32"/>
        </w:rPr>
      </w:pPr>
      <w:r>
        <w:rPr>
          <w:rFonts w:ascii="Times New Roman" w:hAnsi="Times New Roman" w:eastAsia="楷体_GB2312" w:cs="Times New Roman"/>
          <w:b/>
          <w:color w:val="auto"/>
          <w:szCs w:val="32"/>
        </w:rPr>
        <w:t>（五）人社行政部门审核</w:t>
      </w:r>
    </w:p>
    <w:p w14:paraId="57E759BE">
      <w:pPr>
        <w:widowControl w:val="0"/>
        <w:overflowPunct w:val="0"/>
        <w:spacing w:line="520" w:lineRule="exact"/>
        <w:ind w:firstLine="640" w:firstLineChars="200"/>
        <w:rPr>
          <w:rFonts w:ascii="Times New Roman" w:hAnsi="Times New Roman" w:eastAsia="仿宋_GB2312" w:cs="Times New Roman"/>
          <w:color w:val="auto"/>
          <w:szCs w:val="32"/>
        </w:rPr>
      </w:pPr>
      <w:r>
        <w:rPr>
          <w:rFonts w:ascii="Times New Roman" w:hAnsi="Times New Roman" w:eastAsia="仿宋_GB2312" w:cs="Times New Roman"/>
          <w:color w:val="auto"/>
          <w:szCs w:val="32"/>
        </w:rPr>
        <w:t>人社行政部门将加强监督检查，按 5%-10%的比例随机抽查评审通过人员的主要经历和业绩成果是否真实，相关单位、机构和个人应积极配合，不得拒绝检查或提供虚假材料。如查实存在通过提供虚假材料、剽窃他人作品和学术成果或者通过其他不正当手段取得职称的失信行为，按桂人社规〔2021〕11 号文件规定查处。</w:t>
      </w:r>
    </w:p>
    <w:p w14:paraId="0E2B7088">
      <w:pPr>
        <w:widowControl w:val="0"/>
        <w:overflowPunct w:val="0"/>
        <w:spacing w:line="520" w:lineRule="exact"/>
        <w:ind w:firstLine="640" w:firstLineChars="200"/>
        <w:rPr>
          <w:rFonts w:ascii="Times New Roman" w:hAnsi="Times New Roman" w:eastAsia="仿宋_GB2312" w:cs="Times New Roman"/>
          <w:color w:val="auto"/>
          <w:szCs w:val="32"/>
        </w:rPr>
      </w:pPr>
      <w:r>
        <w:rPr>
          <w:rFonts w:ascii="Times New Roman" w:hAnsi="Times New Roman" w:eastAsia="仿宋_GB2312" w:cs="Times New Roman"/>
          <w:color w:val="auto"/>
          <w:szCs w:val="32"/>
        </w:rPr>
        <w:t>如查实存在问题人数占抽查人数比例超过抽查比例，相应提高抽查比例，直至全面核查。</w:t>
      </w:r>
    </w:p>
    <w:p w14:paraId="38BE1ED9">
      <w:pPr>
        <w:widowControl w:val="0"/>
        <w:overflowPunct w:val="0"/>
        <w:spacing w:line="520" w:lineRule="exact"/>
        <w:ind w:firstLine="640" w:firstLineChars="200"/>
        <w:rPr>
          <w:rFonts w:ascii="Times New Roman" w:hAnsi="Times New Roman" w:eastAsia="黑体" w:cs="Times New Roman"/>
          <w:color w:val="auto"/>
          <w:szCs w:val="32"/>
        </w:rPr>
      </w:pPr>
      <w:r>
        <w:rPr>
          <w:rFonts w:ascii="Times New Roman" w:hAnsi="Times New Roman" w:eastAsia="黑体" w:cs="Times New Roman"/>
          <w:color w:val="auto"/>
          <w:szCs w:val="32"/>
        </w:rPr>
        <w:t>六、评审量化评价指标</w:t>
      </w:r>
    </w:p>
    <w:p w14:paraId="48324588">
      <w:pPr>
        <w:widowControl w:val="0"/>
        <w:overflowPunct w:val="0"/>
        <w:spacing w:line="520" w:lineRule="exact"/>
        <w:ind w:firstLine="640" w:firstLineChars="200"/>
        <w:rPr>
          <w:rFonts w:ascii="Times New Roman" w:hAnsi="Times New Roman" w:eastAsia="仿宋_GB2312" w:cs="Times New Roman"/>
          <w:color w:val="auto"/>
          <w:szCs w:val="32"/>
        </w:rPr>
      </w:pPr>
      <w:r>
        <w:rPr>
          <w:rFonts w:ascii="Times New Roman" w:hAnsi="Times New Roman" w:eastAsia="仿宋_GB2312" w:cs="Times New Roman"/>
          <w:color w:val="auto"/>
          <w:szCs w:val="32"/>
        </w:rPr>
        <w:t>按照自治区、南宁市职改部门的部署文件及有关规定，为规范量化评分工作，提高评审公信力和满意度，现将2025年南宁市建设工程质量安全协会工程系列住建行业中、初级职称评审量化评价主要指标公布如下：</w:t>
      </w:r>
    </w:p>
    <w:p w14:paraId="6E7F7B49">
      <w:pPr>
        <w:widowControl w:val="0"/>
        <w:overflowPunct w:val="0"/>
        <w:spacing w:line="520" w:lineRule="exact"/>
        <w:ind w:firstLine="643" w:firstLineChars="200"/>
        <w:rPr>
          <w:rFonts w:ascii="Times New Roman" w:hAnsi="Times New Roman" w:eastAsia="仿宋_GB2312" w:cs="Times New Roman"/>
          <w:color w:val="auto"/>
          <w:szCs w:val="32"/>
          <w:lang w:bidi="en-US"/>
        </w:rPr>
      </w:pPr>
      <w:bookmarkStart w:id="27" w:name="bookmark74"/>
      <w:bookmarkEnd w:id="27"/>
      <w:r>
        <w:rPr>
          <w:rFonts w:ascii="Times New Roman" w:hAnsi="Times New Roman" w:eastAsia="仿宋_GB2312" w:cs="Times New Roman"/>
          <w:b/>
          <w:color w:val="auto"/>
          <w:szCs w:val="32"/>
        </w:rPr>
        <w:t>（一）基本条件：</w:t>
      </w:r>
      <w:bookmarkStart w:id="28" w:name="bookmark75"/>
      <w:r>
        <w:rPr>
          <w:rFonts w:ascii="Times New Roman" w:hAnsi="Times New Roman" w:eastAsia="仿宋_GB2312" w:cs="Times New Roman"/>
          <w:color w:val="auto"/>
          <w:szCs w:val="32"/>
          <w:lang w:bidi="en-US"/>
        </w:rPr>
        <w:t>思想政治、</w:t>
      </w:r>
      <w:r>
        <w:rPr>
          <w:rFonts w:ascii="Times New Roman" w:hAnsi="Times New Roman" w:eastAsia="仿宋_GB2312" w:cs="Times New Roman"/>
          <w:color w:val="auto"/>
          <w:szCs w:val="32"/>
        </w:rPr>
        <w:t>学历学位；任现职以来专业技术工作年限。</w:t>
      </w:r>
    </w:p>
    <w:p w14:paraId="2CB6416D">
      <w:pPr>
        <w:widowControl w:val="0"/>
        <w:overflowPunct w:val="0"/>
        <w:spacing w:line="520" w:lineRule="exact"/>
        <w:ind w:firstLine="643" w:firstLineChars="200"/>
        <w:rPr>
          <w:rFonts w:ascii="Times New Roman" w:hAnsi="Times New Roman" w:eastAsia="仿宋_GB2312" w:cs="Times New Roman"/>
          <w:color w:val="auto"/>
          <w:szCs w:val="32"/>
        </w:rPr>
      </w:pPr>
      <w:r>
        <w:rPr>
          <w:rFonts w:ascii="Times New Roman" w:hAnsi="Times New Roman" w:eastAsia="仿宋_GB2312" w:cs="Times New Roman"/>
          <w:b/>
          <w:color w:val="auto"/>
          <w:szCs w:val="32"/>
        </w:rPr>
        <w:t>（</w:t>
      </w:r>
      <w:bookmarkEnd w:id="28"/>
      <w:r>
        <w:rPr>
          <w:rFonts w:ascii="Times New Roman" w:hAnsi="Times New Roman" w:eastAsia="仿宋_GB2312" w:cs="Times New Roman"/>
          <w:b/>
          <w:color w:val="auto"/>
          <w:szCs w:val="32"/>
        </w:rPr>
        <w:t>二）专业技术工作情况：</w:t>
      </w:r>
      <w:r>
        <w:rPr>
          <w:rFonts w:ascii="Times New Roman" w:hAnsi="Times New Roman" w:eastAsia="仿宋_GB2312" w:cs="Times New Roman"/>
          <w:color w:val="auto"/>
          <w:szCs w:val="32"/>
        </w:rPr>
        <w:t>专业技术工作经历；</w:t>
      </w:r>
      <w:r>
        <w:rPr>
          <w:rFonts w:ascii="Times New Roman" w:hAnsi="Times New Roman" w:eastAsia="仿宋_GB2312" w:cs="Times New Roman"/>
          <w:color w:val="auto"/>
          <w:szCs w:val="32"/>
          <w:lang w:bidi="en-US"/>
        </w:rPr>
        <w:t>基层工作经历；</w:t>
      </w:r>
      <w:r>
        <w:rPr>
          <w:rFonts w:ascii="Times New Roman" w:hAnsi="Times New Roman" w:eastAsia="仿宋_GB2312" w:cs="Times New Roman"/>
          <w:color w:val="auto"/>
          <w:szCs w:val="32"/>
        </w:rPr>
        <w:t>专业技术工作难度、工作强度；业内认可（行业认证、注册证、执业资格、本专业技术荣誉等）。</w:t>
      </w:r>
    </w:p>
    <w:p w14:paraId="770F0610">
      <w:pPr>
        <w:widowControl w:val="0"/>
        <w:overflowPunct w:val="0"/>
        <w:spacing w:line="520" w:lineRule="exact"/>
        <w:ind w:firstLine="643" w:firstLineChars="200"/>
        <w:rPr>
          <w:rFonts w:ascii="Times New Roman" w:hAnsi="Times New Roman" w:eastAsia="仿宋_GB2312" w:cs="Times New Roman"/>
          <w:color w:val="auto"/>
          <w:szCs w:val="32"/>
        </w:rPr>
      </w:pPr>
      <w:bookmarkStart w:id="29" w:name="bookmark76"/>
      <w:r>
        <w:rPr>
          <w:rFonts w:ascii="Times New Roman" w:hAnsi="Times New Roman" w:eastAsia="仿宋_GB2312" w:cs="Times New Roman"/>
          <w:b/>
          <w:color w:val="auto"/>
          <w:szCs w:val="32"/>
        </w:rPr>
        <w:t>（</w:t>
      </w:r>
      <w:bookmarkEnd w:id="29"/>
      <w:r>
        <w:rPr>
          <w:rFonts w:ascii="Times New Roman" w:hAnsi="Times New Roman" w:eastAsia="仿宋_GB2312" w:cs="Times New Roman"/>
          <w:b/>
          <w:color w:val="auto"/>
          <w:szCs w:val="32"/>
        </w:rPr>
        <w:t>三）本专业业绩成果及贡献：</w:t>
      </w:r>
      <w:r>
        <w:rPr>
          <w:rFonts w:ascii="Times New Roman" w:hAnsi="Times New Roman" w:eastAsia="仿宋_GB2312" w:cs="Times New Roman"/>
          <w:color w:val="auto"/>
          <w:szCs w:val="32"/>
        </w:rPr>
        <w:t>完成与申报专业相关的重点项目及成果；科技进步及行业类奖项；标准（工法）编制；与申报专业相关的专利、知识产权及其转化情况。</w:t>
      </w:r>
    </w:p>
    <w:p w14:paraId="7CBBDDF6">
      <w:pPr>
        <w:widowControl w:val="0"/>
        <w:overflowPunct w:val="0"/>
        <w:spacing w:line="520" w:lineRule="exact"/>
        <w:ind w:firstLine="643" w:firstLineChars="200"/>
        <w:rPr>
          <w:rFonts w:ascii="Times New Roman" w:hAnsi="Times New Roman" w:eastAsia="仿宋_GB2312" w:cs="Times New Roman"/>
          <w:color w:val="auto"/>
          <w:szCs w:val="32"/>
        </w:rPr>
      </w:pPr>
      <w:bookmarkStart w:id="30" w:name="bookmark77"/>
      <w:r>
        <w:rPr>
          <w:rFonts w:ascii="Times New Roman" w:hAnsi="Times New Roman" w:eastAsia="仿宋_GB2312" w:cs="Times New Roman"/>
          <w:b/>
          <w:color w:val="auto"/>
          <w:szCs w:val="32"/>
        </w:rPr>
        <w:t>（</w:t>
      </w:r>
      <w:bookmarkEnd w:id="30"/>
      <w:r>
        <w:rPr>
          <w:rFonts w:ascii="Times New Roman" w:hAnsi="Times New Roman" w:eastAsia="仿宋_GB2312" w:cs="Times New Roman"/>
          <w:b/>
          <w:color w:val="auto"/>
          <w:szCs w:val="32"/>
        </w:rPr>
        <w:t>四）学术成果：</w:t>
      </w:r>
      <w:r>
        <w:rPr>
          <w:rFonts w:ascii="Times New Roman" w:hAnsi="Times New Roman" w:eastAsia="仿宋_GB2312" w:cs="Times New Roman"/>
          <w:color w:val="auto"/>
          <w:szCs w:val="32"/>
        </w:rPr>
        <w:t>论文、著作、</w:t>
      </w:r>
      <w:r>
        <w:rPr>
          <w:rFonts w:ascii="Times New Roman" w:hAnsi="Times New Roman" w:eastAsia="仿宋_GB2312" w:cs="Times New Roman"/>
          <w:color w:val="auto"/>
          <w:szCs w:val="32"/>
          <w:lang w:bidi="en-US"/>
        </w:rPr>
        <w:t>专业技术（工艺）工作总结等</w:t>
      </w:r>
      <w:r>
        <w:rPr>
          <w:rFonts w:ascii="Times New Roman" w:hAnsi="Times New Roman" w:eastAsia="仿宋_GB2312" w:cs="Times New Roman"/>
          <w:color w:val="auto"/>
          <w:szCs w:val="32"/>
        </w:rPr>
        <w:t>。</w:t>
      </w:r>
    </w:p>
    <w:p w14:paraId="5AC51419">
      <w:pPr>
        <w:widowControl w:val="0"/>
        <w:overflowPunct w:val="0"/>
        <w:spacing w:line="520" w:lineRule="exact"/>
        <w:ind w:firstLine="643" w:firstLineChars="200"/>
        <w:rPr>
          <w:rFonts w:ascii="Times New Roman" w:hAnsi="Times New Roman" w:eastAsia="仿宋_GB2312" w:cs="Times New Roman"/>
          <w:color w:val="auto"/>
          <w:szCs w:val="32"/>
        </w:rPr>
      </w:pPr>
      <w:r>
        <w:rPr>
          <w:rFonts w:ascii="Times New Roman" w:hAnsi="Times New Roman" w:eastAsia="仿宋_GB2312" w:cs="Times New Roman"/>
          <w:b/>
          <w:color w:val="auto"/>
          <w:szCs w:val="32"/>
        </w:rPr>
        <w:t>（五）继续教育完成情况：</w:t>
      </w:r>
      <w:r>
        <w:rPr>
          <w:rFonts w:ascii="Times New Roman" w:hAnsi="Times New Roman" w:eastAsia="仿宋_GB2312" w:cs="Times New Roman"/>
          <w:color w:val="auto"/>
          <w:szCs w:val="32"/>
        </w:rPr>
        <w:t>本部门本行业规定的继续教育任务和自治区人社厅规定的年度公需科目。申报资历年限内历年继续教育（含公需科目和专业科目）完成情况，作为推荐参评的重要参考条件，纳入评审标准。</w:t>
      </w:r>
    </w:p>
    <w:p w14:paraId="36469D80">
      <w:pPr>
        <w:widowControl w:val="0"/>
        <w:overflowPunct w:val="0"/>
        <w:spacing w:line="520" w:lineRule="exact"/>
        <w:ind w:firstLine="643" w:firstLineChars="200"/>
        <w:rPr>
          <w:rFonts w:ascii="Times New Roman" w:hAnsi="Times New Roman" w:eastAsia="仿宋_GB2312" w:cs="Times New Roman"/>
          <w:b/>
          <w:color w:val="auto"/>
          <w:szCs w:val="32"/>
        </w:rPr>
      </w:pPr>
      <w:r>
        <w:rPr>
          <w:rFonts w:ascii="Times New Roman" w:hAnsi="Times New Roman" w:eastAsia="仿宋_GB2312" w:cs="Times New Roman"/>
          <w:b/>
          <w:color w:val="auto"/>
          <w:szCs w:val="32"/>
        </w:rPr>
        <w:t>（六）综合评价。</w:t>
      </w:r>
    </w:p>
    <w:p w14:paraId="3B6CF6B5">
      <w:pPr>
        <w:widowControl w:val="0"/>
        <w:overflowPunct w:val="0"/>
        <w:spacing w:line="520" w:lineRule="exact"/>
        <w:ind w:firstLine="640" w:firstLineChars="200"/>
        <w:rPr>
          <w:rFonts w:ascii="Times New Roman" w:hAnsi="Times New Roman" w:eastAsia="黑体" w:cs="Times New Roman"/>
          <w:color w:val="auto"/>
          <w:szCs w:val="32"/>
        </w:rPr>
      </w:pPr>
      <w:r>
        <w:rPr>
          <w:rFonts w:ascii="Times New Roman" w:hAnsi="Times New Roman" w:eastAsia="黑体" w:cs="Times New Roman"/>
          <w:color w:val="auto"/>
          <w:szCs w:val="32"/>
        </w:rPr>
        <w:t>七、时间安排</w:t>
      </w:r>
    </w:p>
    <w:p w14:paraId="3FEAA016">
      <w:pPr>
        <w:widowControl w:val="0"/>
        <w:overflowPunct w:val="0"/>
        <w:spacing w:line="520" w:lineRule="exact"/>
        <w:ind w:firstLine="643" w:firstLineChars="200"/>
        <w:rPr>
          <w:rFonts w:ascii="Times New Roman" w:hAnsi="Times New Roman" w:eastAsia="仿宋_GB2312" w:cs="Times New Roman"/>
          <w:color w:val="auto"/>
          <w:szCs w:val="32"/>
        </w:rPr>
      </w:pPr>
      <w:r>
        <w:rPr>
          <w:rFonts w:ascii="Times New Roman" w:hAnsi="Times New Roman" w:eastAsia="仿宋_GB2312" w:cs="Times New Roman"/>
          <w:b/>
          <w:color w:val="auto"/>
          <w:szCs w:val="32"/>
        </w:rPr>
        <w:t>（一）</w:t>
      </w:r>
      <w:r>
        <w:rPr>
          <w:rFonts w:ascii="Times New Roman" w:hAnsi="Times New Roman" w:eastAsia="楷体_GB2312" w:cs="Times New Roman"/>
          <w:b/>
          <w:color w:val="auto"/>
          <w:szCs w:val="32"/>
        </w:rPr>
        <w:t>从本文发布之日起至2025年9月26日为本职改办接收、审核材料时间。</w:t>
      </w:r>
      <w:r>
        <w:rPr>
          <w:rFonts w:ascii="Times New Roman" w:hAnsi="Times New Roman" w:eastAsia="仿宋_GB2312" w:cs="Times New Roman"/>
          <w:color w:val="auto"/>
          <w:szCs w:val="32"/>
        </w:rPr>
        <w:t>具体时间安排如下：</w:t>
      </w:r>
    </w:p>
    <w:p w14:paraId="05DDB68B">
      <w:pPr>
        <w:widowControl w:val="0"/>
        <w:overflowPunct w:val="0"/>
        <w:spacing w:line="520" w:lineRule="exact"/>
        <w:ind w:firstLine="643" w:firstLineChars="200"/>
        <w:rPr>
          <w:rFonts w:ascii="Times New Roman" w:hAnsi="Times New Roman" w:eastAsia="仿宋_GB2312" w:cs="Times New Roman"/>
          <w:color w:val="auto"/>
          <w:szCs w:val="32"/>
        </w:rPr>
      </w:pPr>
      <w:r>
        <w:rPr>
          <w:rFonts w:ascii="Times New Roman" w:hAnsi="Times New Roman" w:eastAsia="仿宋_GB2312" w:cs="Times New Roman"/>
          <w:b/>
          <w:color w:val="auto"/>
          <w:szCs w:val="32"/>
        </w:rPr>
        <w:t>1.首次申报截止时间。</w:t>
      </w:r>
      <w:r>
        <w:rPr>
          <w:rFonts w:ascii="Times New Roman" w:hAnsi="Times New Roman" w:eastAsia="仿宋_GB2312" w:cs="Times New Roman"/>
          <w:color w:val="auto"/>
          <w:szCs w:val="32"/>
        </w:rPr>
        <w:t>申报人的首次提交申报材料到本职改办的</w:t>
      </w:r>
      <w:r>
        <w:rPr>
          <w:rFonts w:ascii="Times New Roman" w:hAnsi="Times New Roman" w:eastAsia="仿宋_GB2312" w:cs="Times New Roman"/>
          <w:b/>
          <w:color w:val="auto"/>
          <w:szCs w:val="32"/>
        </w:rPr>
        <w:t>截止时间至2025年9月12日18:00</w:t>
      </w:r>
      <w:r>
        <w:rPr>
          <w:rFonts w:ascii="Times New Roman" w:hAnsi="Times New Roman" w:eastAsia="仿宋_GB2312" w:cs="Times New Roman"/>
          <w:color w:val="auto"/>
          <w:szCs w:val="32"/>
        </w:rPr>
        <w:t xml:space="preserve">，请单位、主管部门和县（市）区职改办把握好时间和进度，逾期系统自动关闭，不再受理。  </w:t>
      </w:r>
    </w:p>
    <w:p w14:paraId="337587BD">
      <w:pPr>
        <w:widowControl w:val="0"/>
        <w:overflowPunct w:val="0"/>
        <w:spacing w:line="520" w:lineRule="exact"/>
        <w:ind w:firstLine="643" w:firstLineChars="200"/>
        <w:rPr>
          <w:rFonts w:ascii="Times New Roman" w:hAnsi="Times New Roman" w:eastAsia="仿宋_GB2312" w:cs="Times New Roman"/>
          <w:color w:val="auto"/>
          <w:szCs w:val="32"/>
        </w:rPr>
      </w:pPr>
      <w:r>
        <w:rPr>
          <w:rFonts w:ascii="Times New Roman" w:hAnsi="Times New Roman" w:eastAsia="仿宋_GB2312" w:cs="Times New Roman"/>
          <w:b/>
          <w:color w:val="auto"/>
          <w:szCs w:val="32"/>
        </w:rPr>
        <w:t>2.再次提交截止时间。</w:t>
      </w:r>
      <w:r>
        <w:rPr>
          <w:rFonts w:ascii="Times New Roman" w:hAnsi="Times New Roman" w:eastAsia="仿宋_GB2312" w:cs="Times New Roman"/>
          <w:color w:val="auto"/>
          <w:szCs w:val="32"/>
        </w:rPr>
        <w:t>申报人根据本职改办审核意见修改、补充后再次提交的，</w:t>
      </w:r>
      <w:r>
        <w:rPr>
          <w:rFonts w:ascii="Times New Roman" w:hAnsi="Times New Roman" w:eastAsia="仿宋_GB2312" w:cs="Times New Roman"/>
          <w:b/>
          <w:color w:val="auto"/>
          <w:szCs w:val="32"/>
        </w:rPr>
        <w:t>须在</w:t>
      </w:r>
      <w:r>
        <w:rPr>
          <w:rFonts w:ascii="Times New Roman" w:hAnsi="Times New Roman" w:eastAsia="仿宋_GB2312" w:cs="Times New Roman"/>
          <w:b/>
          <w:bCs/>
          <w:color w:val="auto"/>
          <w:szCs w:val="32"/>
        </w:rPr>
        <w:t>2025年</w:t>
      </w:r>
      <w:r>
        <w:rPr>
          <w:rFonts w:ascii="Times New Roman" w:hAnsi="Times New Roman" w:eastAsia="仿宋_GB2312" w:cs="Times New Roman"/>
          <w:b/>
          <w:color w:val="auto"/>
          <w:szCs w:val="32"/>
        </w:rPr>
        <w:t>9月26日18:00系统接收补充申报材料截止时间前完成逐级推送，</w:t>
      </w:r>
      <w:r>
        <w:rPr>
          <w:rFonts w:ascii="Times New Roman" w:hAnsi="Times New Roman" w:eastAsia="仿宋_GB2312" w:cs="Times New Roman"/>
          <w:color w:val="auto"/>
          <w:szCs w:val="32"/>
        </w:rPr>
        <w:t>对不按规定时间、程序申报或所提交的评审材料不符合规定要求，逾期未成功推荐至本职改办的，一律不予受理。</w:t>
      </w:r>
    </w:p>
    <w:p w14:paraId="1FD7BF53">
      <w:pPr>
        <w:widowControl w:val="0"/>
        <w:overflowPunct w:val="0"/>
        <w:spacing w:line="520" w:lineRule="exact"/>
        <w:ind w:firstLine="643" w:firstLineChars="200"/>
        <w:rPr>
          <w:rFonts w:ascii="Times New Roman" w:hAnsi="Times New Roman" w:eastAsia="仿宋_GB2312" w:cs="Times New Roman"/>
          <w:color w:val="auto"/>
          <w:szCs w:val="32"/>
        </w:rPr>
      </w:pPr>
      <w:r>
        <w:rPr>
          <w:rFonts w:ascii="Times New Roman" w:hAnsi="Times New Roman" w:eastAsia="仿宋_GB2312" w:cs="Times New Roman"/>
          <w:b/>
          <w:color w:val="auto"/>
          <w:szCs w:val="32"/>
        </w:rPr>
        <w:t>（二）收费方式与标准。</w:t>
      </w:r>
      <w:r>
        <w:rPr>
          <w:rFonts w:ascii="Times New Roman" w:hAnsi="Times New Roman" w:eastAsia="仿宋_GB2312" w:cs="Times New Roman"/>
          <w:color w:val="auto"/>
          <w:szCs w:val="32"/>
        </w:rPr>
        <w:t>申报人应及时登录申报系统或留意手机短信了解是否通过审核。通过审核的，可按系统提示于</w:t>
      </w:r>
      <w:r>
        <w:rPr>
          <w:rFonts w:ascii="Times New Roman" w:hAnsi="Times New Roman" w:eastAsia="仿宋_GB2312" w:cs="Times New Roman"/>
          <w:b/>
          <w:color w:val="auto"/>
          <w:szCs w:val="32"/>
        </w:rPr>
        <w:t>2025年10月17日18:00前</w:t>
      </w:r>
      <w:r>
        <w:rPr>
          <w:rFonts w:ascii="Times New Roman" w:hAnsi="Times New Roman" w:eastAsia="仿宋_GB2312" w:cs="Times New Roman"/>
          <w:color w:val="auto"/>
          <w:szCs w:val="32"/>
        </w:rPr>
        <w:t xml:space="preserve">在网上缴纳评审费（桂价费〔2006〕359号：中级230元/人次、初级150元／人次），逾期未缴费者不得参加评审。 </w:t>
      </w:r>
      <w:bookmarkStart w:id="31" w:name="bookmark88"/>
    </w:p>
    <w:p w14:paraId="179F10DD">
      <w:pPr>
        <w:widowControl w:val="0"/>
        <w:overflowPunct w:val="0"/>
        <w:spacing w:line="520" w:lineRule="exact"/>
        <w:ind w:firstLine="643" w:firstLineChars="200"/>
        <w:rPr>
          <w:rFonts w:ascii="Times New Roman" w:hAnsi="Times New Roman" w:eastAsia="仿宋_GB2312" w:cs="Times New Roman"/>
          <w:color w:val="auto"/>
          <w:szCs w:val="32"/>
        </w:rPr>
      </w:pPr>
      <w:r>
        <w:rPr>
          <w:rFonts w:ascii="Times New Roman" w:hAnsi="Times New Roman" w:eastAsia="仿宋_GB2312" w:cs="Times New Roman"/>
          <w:b/>
          <w:color w:val="auto"/>
          <w:szCs w:val="32"/>
        </w:rPr>
        <w:t>（</w:t>
      </w:r>
      <w:bookmarkEnd w:id="31"/>
      <w:r>
        <w:rPr>
          <w:rFonts w:ascii="Times New Roman" w:hAnsi="Times New Roman" w:eastAsia="仿宋_GB2312" w:cs="Times New Roman"/>
          <w:b/>
          <w:color w:val="auto"/>
          <w:szCs w:val="32"/>
        </w:rPr>
        <w:t>三）评审实施阶段。</w:t>
      </w:r>
      <w:r>
        <w:rPr>
          <w:rFonts w:ascii="Times New Roman" w:hAnsi="Times New Roman" w:eastAsia="仿宋_GB2312" w:cs="Times New Roman"/>
          <w:color w:val="auto"/>
          <w:szCs w:val="32"/>
        </w:rPr>
        <w:t>完成缴费的，由南宁市建设工程质量安全协会工程系列住建行业职称改革工作领导小组办公室按南宁市部署组织评审、复核和公示，对公示无异议的由南宁市住房和城乡建设局职称改革工作领导小组办公室进行评审结果报审及批复结果公布。</w:t>
      </w:r>
    </w:p>
    <w:p w14:paraId="5EC0FFAB">
      <w:pPr>
        <w:widowControl w:val="0"/>
        <w:overflowPunct w:val="0"/>
        <w:spacing w:line="520" w:lineRule="exact"/>
        <w:ind w:firstLine="643" w:firstLineChars="200"/>
        <w:rPr>
          <w:rFonts w:ascii="Times New Roman" w:hAnsi="Times New Roman" w:eastAsia="仿宋_GB2312" w:cs="Times New Roman"/>
          <w:b/>
          <w:color w:val="auto"/>
          <w:szCs w:val="32"/>
        </w:rPr>
      </w:pPr>
      <w:r>
        <w:rPr>
          <w:rFonts w:ascii="Times New Roman" w:hAnsi="Times New Roman" w:eastAsia="仿宋_GB2312" w:cs="Times New Roman"/>
          <w:b/>
          <w:color w:val="auto"/>
          <w:szCs w:val="32"/>
        </w:rPr>
        <w:t>1.中级评审结果在南宁市人社局网站进行公示。批复结果在</w:t>
      </w:r>
      <w:bookmarkStart w:id="32" w:name="OLE_LINK62"/>
      <w:bookmarkStart w:id="33" w:name="OLE_LINK63"/>
      <w:r>
        <w:rPr>
          <w:rFonts w:ascii="Times New Roman" w:hAnsi="Times New Roman" w:eastAsia="仿宋_GB2312" w:cs="Times New Roman"/>
          <w:b/>
          <w:color w:val="auto"/>
          <w:szCs w:val="32"/>
        </w:rPr>
        <w:t>南宁市住房和城乡建设局</w:t>
      </w:r>
      <w:bookmarkEnd w:id="32"/>
      <w:bookmarkEnd w:id="33"/>
      <w:r>
        <w:rPr>
          <w:rFonts w:ascii="Times New Roman" w:hAnsi="Times New Roman" w:eastAsia="仿宋_GB2312" w:cs="Times New Roman"/>
          <w:b/>
          <w:color w:val="auto"/>
          <w:szCs w:val="32"/>
        </w:rPr>
        <w:t>网站进行公布。</w:t>
      </w:r>
    </w:p>
    <w:p w14:paraId="0F06AAA0">
      <w:pPr>
        <w:widowControl w:val="0"/>
        <w:overflowPunct w:val="0"/>
        <w:spacing w:line="520" w:lineRule="exact"/>
        <w:ind w:firstLine="643" w:firstLineChars="200"/>
        <w:rPr>
          <w:rFonts w:ascii="Times New Roman" w:hAnsi="Times New Roman" w:eastAsia="仿宋_GB2312" w:cs="Times New Roman"/>
          <w:b/>
          <w:color w:val="auto"/>
          <w:szCs w:val="32"/>
        </w:rPr>
      </w:pPr>
      <w:r>
        <w:rPr>
          <w:rFonts w:ascii="Times New Roman" w:hAnsi="Times New Roman" w:eastAsia="仿宋_GB2312" w:cs="Times New Roman"/>
          <w:b/>
          <w:color w:val="auto"/>
          <w:szCs w:val="32"/>
        </w:rPr>
        <w:t>2.初级评审结果在南宁市建设工程质量安全协会网站进行公示。批复结果在南宁市住房和城乡建设局网站进行公布。</w:t>
      </w:r>
    </w:p>
    <w:p w14:paraId="5653E9BE">
      <w:pPr>
        <w:widowControl w:val="0"/>
        <w:overflowPunct w:val="0"/>
        <w:spacing w:line="520" w:lineRule="exact"/>
        <w:ind w:firstLine="640" w:firstLineChars="200"/>
        <w:rPr>
          <w:rFonts w:ascii="Times New Roman" w:hAnsi="Times New Roman" w:eastAsia="黑体" w:cs="Times New Roman"/>
          <w:color w:val="auto"/>
          <w:szCs w:val="32"/>
        </w:rPr>
      </w:pPr>
      <w:r>
        <w:rPr>
          <w:rFonts w:ascii="Times New Roman" w:hAnsi="Times New Roman" w:eastAsia="黑体" w:cs="Times New Roman"/>
          <w:color w:val="auto"/>
          <w:szCs w:val="32"/>
        </w:rPr>
        <w:t>八、诚信与追责</w:t>
      </w:r>
    </w:p>
    <w:p w14:paraId="28E4A6BE">
      <w:pPr>
        <w:widowControl w:val="0"/>
        <w:overflowPunct w:val="0"/>
        <w:spacing w:line="520" w:lineRule="exact"/>
        <w:ind w:firstLine="643" w:firstLineChars="200"/>
        <w:rPr>
          <w:rFonts w:ascii="Times New Roman" w:hAnsi="Times New Roman" w:eastAsia="仿宋_GB2312" w:cs="Times New Roman"/>
          <w:color w:val="auto"/>
          <w:szCs w:val="32"/>
        </w:rPr>
      </w:pPr>
      <w:r>
        <w:rPr>
          <w:rFonts w:ascii="Times New Roman" w:hAnsi="Times New Roman" w:eastAsia="仿宋_GB2312" w:cs="Times New Roman"/>
          <w:b/>
          <w:color w:val="auto"/>
          <w:szCs w:val="32"/>
        </w:rPr>
        <w:t>（一）坚决打击失信行为，严格倒查追责。</w:t>
      </w:r>
      <w:r>
        <w:rPr>
          <w:rFonts w:ascii="Times New Roman" w:hAnsi="Times New Roman" w:eastAsia="仿宋_GB2312" w:cs="Times New Roman"/>
          <w:color w:val="auto"/>
          <w:szCs w:val="32"/>
        </w:rPr>
        <w:t>落实黑名单制度，作为评审时重要参考依据。对申报人隐瞒身份申报、挂靠申报、学历资历业绩弄虚作假的，单位和职改部门审核过程中隐瞒、歪曲事实以及评审过程中违纪违规的，按权限移交线索，作进一步处理，并视情节轻重，按《中国共产党纪律处分条例》、《中华人民共和国公职人员政务处分法》等法律法规的有关规定，移交纪检监察部门处理。对因审核把关不严出现大面积弄虚作假申报行为的，函告责任人所在单位纪检监察部门。</w:t>
      </w:r>
    </w:p>
    <w:p w14:paraId="799F8C59">
      <w:pPr>
        <w:widowControl w:val="0"/>
        <w:overflowPunct w:val="0"/>
        <w:spacing w:line="520" w:lineRule="exact"/>
        <w:ind w:firstLine="643" w:firstLineChars="200"/>
        <w:rPr>
          <w:rFonts w:ascii="Times New Roman" w:hAnsi="Times New Roman" w:eastAsia="仿宋_GB2312" w:cs="Times New Roman"/>
          <w:color w:val="auto"/>
          <w:szCs w:val="32"/>
        </w:rPr>
      </w:pPr>
      <w:r>
        <w:rPr>
          <w:rFonts w:ascii="Times New Roman" w:hAnsi="Times New Roman" w:eastAsia="仿宋_GB2312" w:cs="Times New Roman"/>
          <w:b/>
          <w:color w:val="auto"/>
          <w:szCs w:val="32"/>
        </w:rPr>
        <w:t>（二）严肃评审纪律。</w:t>
      </w:r>
      <w:r>
        <w:rPr>
          <w:rFonts w:ascii="Times New Roman" w:hAnsi="Times New Roman" w:eastAsia="仿宋_GB2312" w:cs="Times New Roman"/>
          <w:color w:val="auto"/>
          <w:szCs w:val="32"/>
        </w:rPr>
        <w:t>畅通投诉举报渠道，主动接受社会监督，严肃处理职称评审中“说情打招呼”“圈子评审”等现象。单位或个人对评审结果有异议的，可向本职改办投诉举报，举报材料应署举报人的真实姓名（名称）、联系方式和请求、事实、理由，否则不予受理。对于虚假告发、恶意信访、意图陷害他人，经核查认定为诬告陷害行为的，按行为人身份和管理权限，依纪依法追究责任。</w:t>
      </w:r>
    </w:p>
    <w:p w14:paraId="0594D5AD">
      <w:pPr>
        <w:widowControl w:val="0"/>
        <w:overflowPunct w:val="0"/>
        <w:spacing w:line="520" w:lineRule="exact"/>
        <w:ind w:firstLine="640" w:firstLineChars="200"/>
        <w:rPr>
          <w:rFonts w:ascii="Times New Roman" w:hAnsi="Times New Roman" w:eastAsia="仿宋_GB2312" w:cs="Times New Roman"/>
          <w:color w:val="auto"/>
          <w:szCs w:val="32"/>
        </w:rPr>
      </w:pPr>
      <w:r>
        <w:rPr>
          <w:rFonts w:ascii="Times New Roman" w:hAnsi="Times New Roman" w:eastAsia="仿宋_GB2312" w:cs="Times New Roman"/>
          <w:color w:val="auto"/>
          <w:szCs w:val="32"/>
        </w:rPr>
        <w:t>申报人、申报人所在单位或推荐单位、评委会组建单位、评审专家及职称评审办事机构工作人员违反相关规定的，按照桂人社规〔2021〕11号等文件有关规定处理。</w:t>
      </w:r>
    </w:p>
    <w:p w14:paraId="0084FE0E">
      <w:pPr>
        <w:widowControl w:val="0"/>
        <w:overflowPunct w:val="0"/>
        <w:spacing w:line="520" w:lineRule="exact"/>
        <w:ind w:firstLine="640" w:firstLineChars="200"/>
        <w:rPr>
          <w:rFonts w:ascii="Times New Roman" w:hAnsi="Times New Roman" w:eastAsia="黑体" w:cs="Times New Roman"/>
          <w:color w:val="auto"/>
          <w:szCs w:val="32"/>
        </w:rPr>
      </w:pPr>
      <w:r>
        <w:rPr>
          <w:rFonts w:ascii="Times New Roman" w:hAnsi="Times New Roman" w:eastAsia="黑体" w:cs="Times New Roman"/>
          <w:color w:val="auto"/>
          <w:szCs w:val="32"/>
        </w:rPr>
        <w:t>九、其他事宜</w:t>
      </w:r>
    </w:p>
    <w:p w14:paraId="31E8B69D">
      <w:pPr>
        <w:widowControl w:val="0"/>
        <w:overflowPunct w:val="0"/>
        <w:spacing w:line="520" w:lineRule="exact"/>
        <w:ind w:firstLine="643" w:firstLineChars="200"/>
        <w:rPr>
          <w:rFonts w:ascii="Times New Roman" w:hAnsi="Times New Roman" w:eastAsia="仿宋_GB2312" w:cs="Times New Roman"/>
          <w:color w:val="auto"/>
          <w:szCs w:val="32"/>
        </w:rPr>
      </w:pPr>
      <w:r>
        <w:rPr>
          <w:rFonts w:ascii="Times New Roman" w:hAnsi="Times New Roman" w:eastAsia="仿宋_GB2312" w:cs="Times New Roman"/>
          <w:b/>
          <w:color w:val="auto"/>
          <w:szCs w:val="32"/>
        </w:rPr>
        <w:t>（一）本职改办咨询电话：</w:t>
      </w:r>
      <w:r>
        <w:rPr>
          <w:rFonts w:ascii="Times New Roman" w:hAnsi="Times New Roman" w:eastAsia="仿宋_GB2312" w:cs="Times New Roman"/>
          <w:color w:val="auto"/>
          <w:szCs w:val="32"/>
        </w:rPr>
        <w:t>0771—2808870。</w:t>
      </w:r>
    </w:p>
    <w:p w14:paraId="3C2A9B6E">
      <w:pPr>
        <w:widowControl w:val="0"/>
        <w:overflowPunct w:val="0"/>
        <w:spacing w:line="520" w:lineRule="exact"/>
        <w:ind w:firstLine="643" w:firstLineChars="200"/>
        <w:rPr>
          <w:rFonts w:ascii="Times New Roman" w:hAnsi="Times New Roman" w:eastAsia="仿宋_GB2312" w:cs="Times New Roman"/>
          <w:color w:val="auto"/>
          <w:szCs w:val="32"/>
        </w:rPr>
      </w:pPr>
      <w:r>
        <w:rPr>
          <w:rFonts w:ascii="Times New Roman" w:hAnsi="Times New Roman" w:eastAsia="仿宋_GB2312" w:cs="Times New Roman"/>
          <w:b/>
          <w:color w:val="auto"/>
          <w:szCs w:val="32"/>
        </w:rPr>
        <w:t>（二）关于职称电子证书。</w:t>
      </w:r>
      <w:r>
        <w:rPr>
          <w:rFonts w:ascii="Times New Roman" w:hAnsi="Times New Roman" w:eastAsia="仿宋_GB2312" w:cs="Times New Roman"/>
          <w:color w:val="auto"/>
          <w:szCs w:val="32"/>
        </w:rPr>
        <w:t>根据《关于启用职称电子证书的通知》（桂人社函〔2020〕10号），自该通知发文起，我市通过评审、重新确认、认定、遗失补办等方式取得的职称，已全面实行职称电子证书。电子证书的下载与打印可自行登录广西壮族自治区人力资源和社会保障厅官网、“广西人社”APP、“广西人社服务”微信公众号等渠道办理。已发放的纸质职称证书继续有效，无需更换为电子证书。</w:t>
      </w:r>
    </w:p>
    <w:p w14:paraId="77A52476">
      <w:pPr>
        <w:widowControl w:val="0"/>
        <w:overflowPunct w:val="0"/>
        <w:spacing w:line="520" w:lineRule="exact"/>
        <w:ind w:firstLine="643" w:firstLineChars="200"/>
        <w:rPr>
          <w:rFonts w:ascii="Times New Roman" w:hAnsi="Times New Roman" w:eastAsia="仿宋_GB2312" w:cs="Times New Roman"/>
          <w:color w:val="auto"/>
          <w:szCs w:val="32"/>
        </w:rPr>
      </w:pPr>
      <w:r>
        <w:rPr>
          <w:rFonts w:ascii="Times New Roman" w:hAnsi="Times New Roman" w:eastAsia="仿宋_GB2312" w:cs="Times New Roman"/>
          <w:b/>
          <w:color w:val="auto"/>
          <w:szCs w:val="32"/>
        </w:rPr>
        <w:t>（三）落实职称审验要求。</w:t>
      </w:r>
      <w:r>
        <w:rPr>
          <w:rFonts w:ascii="Times New Roman" w:hAnsi="Times New Roman" w:eastAsia="仿宋_GB2312" w:cs="Times New Roman"/>
          <w:color w:val="auto"/>
          <w:szCs w:val="32"/>
        </w:rPr>
        <w:t>坚持逢申报必审验，杜绝“带病”晋升职称，具体按《关于加强职称证书管理的通知》（南职办〔2020〕10号）要求，推进所发放职称证书数据的在线审验工作。如发现持证人职称档案信息与政务数据信息不一致的、取得职称的渠道不符合当年职称政策要求的，按桂人社规〔2021〕11号文件规定查处。</w:t>
      </w:r>
    </w:p>
    <w:p w14:paraId="0F376361">
      <w:pPr>
        <w:widowControl w:val="0"/>
        <w:overflowPunct w:val="0"/>
        <w:spacing w:line="520" w:lineRule="exact"/>
        <w:ind w:firstLine="643" w:firstLineChars="200"/>
        <w:rPr>
          <w:rFonts w:ascii="Times New Roman" w:hAnsi="Times New Roman" w:eastAsia="仿宋_GB2312" w:cs="Times New Roman"/>
          <w:color w:val="auto"/>
          <w:szCs w:val="32"/>
        </w:rPr>
      </w:pPr>
      <w:r>
        <w:rPr>
          <w:rFonts w:ascii="Times New Roman" w:hAnsi="Times New Roman" w:eastAsia="仿宋_GB2312" w:cs="Times New Roman"/>
          <w:b/>
          <w:color w:val="auto"/>
          <w:szCs w:val="32"/>
        </w:rPr>
        <w:t>（四）关于评审复查。</w:t>
      </w:r>
      <w:r>
        <w:rPr>
          <w:rFonts w:ascii="Times New Roman" w:hAnsi="Times New Roman" w:eastAsia="仿宋_GB2312" w:cs="Times New Roman"/>
          <w:color w:val="auto"/>
          <w:szCs w:val="32"/>
        </w:rPr>
        <w:t>申报人对涉及本人的审议（答辩）结果不服的，可以向审议（答辩）推荐小组组建单位申请复查、进行投诉，审议（答辩）推荐小组组建单位应就评审组织实施、保密措施、监督措施等是否合法合规进行核查并予以回复。申报人对涉及本人的评审结果不服的，可以向评委会组建单位申请复查、进行投诉，评委会组建单位应就评审组织实施、保密措施、监督措施等是否合法合规进行核查并予以回复，但专家评分结果不予公开和查询。</w:t>
      </w:r>
    </w:p>
    <w:p w14:paraId="6E0E11EB">
      <w:pPr>
        <w:widowControl w:val="0"/>
        <w:overflowPunct w:val="0"/>
        <w:spacing w:line="520" w:lineRule="exact"/>
        <w:ind w:firstLine="640" w:firstLineChars="200"/>
        <w:rPr>
          <w:rFonts w:ascii="Times New Roman" w:hAnsi="Times New Roman" w:eastAsia="仿宋_GB2312" w:cs="Times New Roman"/>
          <w:color w:val="auto"/>
          <w:szCs w:val="32"/>
        </w:rPr>
      </w:pPr>
      <w:r>
        <w:rPr>
          <w:rFonts w:ascii="Times New Roman" w:hAnsi="Times New Roman" w:eastAsia="仿宋_GB2312" w:cs="Times New Roman"/>
          <w:color w:val="auto"/>
          <w:szCs w:val="32"/>
        </w:rPr>
        <w:t>（五）本通知未尽事宜，按照自治区、南宁市职改办相关规定执行。如遇其他重大政策调整，按新规定执行。</w:t>
      </w:r>
    </w:p>
    <w:p w14:paraId="2D1348E6">
      <w:pPr>
        <w:widowControl w:val="0"/>
        <w:overflowPunct w:val="0"/>
        <w:spacing w:line="520" w:lineRule="exact"/>
        <w:ind w:firstLine="640" w:firstLineChars="200"/>
        <w:rPr>
          <w:rFonts w:ascii="Times New Roman" w:hAnsi="Times New Roman" w:eastAsia="仿宋_GB2312" w:cs="Times New Roman"/>
          <w:color w:val="auto"/>
          <w:szCs w:val="32"/>
        </w:rPr>
      </w:pPr>
    </w:p>
    <w:p w14:paraId="6398E658">
      <w:pPr>
        <w:widowControl w:val="0"/>
        <w:overflowPunct w:val="0"/>
        <w:spacing w:line="520" w:lineRule="exact"/>
        <w:ind w:left="1824" w:leftChars="200" w:hanging="1184" w:hangingChars="370"/>
        <w:rPr>
          <w:rFonts w:ascii="Times New Roman" w:hAnsi="Times New Roman" w:eastAsia="仿宋_GB2312" w:cs="Times New Roman"/>
          <w:color w:val="auto"/>
          <w:szCs w:val="32"/>
        </w:rPr>
      </w:pPr>
      <w:r>
        <w:rPr>
          <w:rFonts w:ascii="Times New Roman" w:hAnsi="Times New Roman" w:eastAsia="仿宋_GB2312" w:cs="Times New Roman"/>
          <w:color w:val="auto"/>
          <w:szCs w:val="32"/>
        </w:rPr>
        <w:t>附件：1.广西壮族自治区职称改革工作领导小组办公室关于印发广西壮族自治区工程系列住房城乡建设行业高、中、初级职称评审条件的通知（桂职办〔2022〕35号）（节选）</w:t>
      </w:r>
    </w:p>
    <w:p w14:paraId="5D5D0207">
      <w:pPr>
        <w:widowControl w:val="0"/>
        <w:overflowPunct w:val="0"/>
        <w:spacing w:line="520" w:lineRule="exact"/>
        <w:ind w:left="1856" w:leftChars="500" w:hanging="256" w:hangingChars="80"/>
        <w:rPr>
          <w:rFonts w:ascii="Times New Roman" w:hAnsi="Times New Roman" w:eastAsia="仿宋_GB2312" w:cs="Times New Roman"/>
          <w:color w:val="auto"/>
          <w:szCs w:val="32"/>
        </w:rPr>
      </w:pPr>
      <w:r>
        <w:rPr>
          <w:rFonts w:ascii="Times New Roman" w:hAnsi="Times New Roman" w:eastAsia="仿宋_GB2312" w:cs="Times New Roman"/>
          <w:color w:val="auto"/>
          <w:szCs w:val="32"/>
        </w:rPr>
        <w:t>2.广西壮族自治区人力资源和社会保障厅关于印发广西壮族自治区职称评审管理服务暂行办法的通知（桂人社规〔2021〕11号）</w:t>
      </w:r>
    </w:p>
    <w:p w14:paraId="4C4ED919">
      <w:pPr>
        <w:widowControl w:val="0"/>
        <w:overflowPunct w:val="0"/>
        <w:spacing w:line="520" w:lineRule="exact"/>
        <w:ind w:firstLine="1600" w:firstLineChars="500"/>
        <w:rPr>
          <w:rFonts w:ascii="Times New Roman" w:hAnsi="Times New Roman" w:eastAsia="仿宋_GB2312" w:cs="Times New Roman"/>
          <w:color w:val="auto"/>
          <w:szCs w:val="32"/>
        </w:rPr>
      </w:pPr>
      <w:r>
        <w:rPr>
          <w:rFonts w:ascii="Times New Roman" w:hAnsi="Times New Roman" w:eastAsia="仿宋_GB2312" w:cs="Times New Roman"/>
          <w:color w:val="auto"/>
          <w:szCs w:val="32"/>
        </w:rPr>
        <w:t>3.中直驻邕或外省市单位属地评审模板</w:t>
      </w:r>
    </w:p>
    <w:p w14:paraId="485BBF42">
      <w:pPr>
        <w:widowControl w:val="0"/>
        <w:overflowPunct w:val="0"/>
        <w:spacing w:line="520" w:lineRule="exact"/>
        <w:ind w:firstLine="1600" w:firstLineChars="500"/>
        <w:rPr>
          <w:rFonts w:ascii="Times New Roman" w:hAnsi="Times New Roman" w:eastAsia="仿宋_GB2312" w:cs="Times New Roman"/>
          <w:color w:val="auto"/>
          <w:szCs w:val="32"/>
        </w:rPr>
      </w:pPr>
      <w:r>
        <w:rPr>
          <w:rFonts w:ascii="Times New Roman" w:hAnsi="Times New Roman" w:eastAsia="仿宋_GB2312" w:cs="Times New Roman"/>
          <w:color w:val="auto"/>
          <w:szCs w:val="32"/>
        </w:rPr>
        <w:t>4.中直驻邕或外省市单位委托评审模板</w:t>
      </w:r>
    </w:p>
    <w:p w14:paraId="0C9FCB63">
      <w:pPr>
        <w:widowControl w:val="0"/>
        <w:overflowPunct w:val="0"/>
        <w:spacing w:line="520" w:lineRule="exact"/>
        <w:ind w:left="1856" w:leftChars="500" w:hanging="256" w:hangingChars="80"/>
        <w:rPr>
          <w:rFonts w:ascii="Times New Roman" w:hAnsi="Times New Roman" w:eastAsia="仿宋_GB2312" w:cs="Times New Roman"/>
          <w:color w:val="auto"/>
          <w:szCs w:val="32"/>
        </w:rPr>
      </w:pPr>
      <w:r>
        <w:rPr>
          <w:rFonts w:ascii="Times New Roman" w:hAnsi="Times New Roman" w:eastAsia="仿宋_GB2312" w:cs="Times New Roman"/>
          <w:color w:val="auto"/>
          <w:szCs w:val="32"/>
        </w:rPr>
        <w:t>5.南宁市建设工程质量安全协会工程系列住建行业中、初级职称申报材料清单</w:t>
      </w:r>
    </w:p>
    <w:p w14:paraId="0573CD70">
      <w:pPr>
        <w:widowControl w:val="0"/>
        <w:overflowPunct w:val="0"/>
        <w:spacing w:line="520" w:lineRule="exact"/>
        <w:ind w:left="1856" w:leftChars="500" w:hanging="256" w:hangingChars="80"/>
        <w:rPr>
          <w:rFonts w:ascii="Times New Roman" w:hAnsi="Times New Roman" w:eastAsia="仿宋_GB2312" w:cs="Times New Roman"/>
          <w:color w:val="auto"/>
          <w:szCs w:val="32"/>
        </w:rPr>
      </w:pPr>
      <w:r>
        <w:rPr>
          <w:rFonts w:ascii="Times New Roman" w:hAnsi="Times New Roman" w:eastAsia="仿宋_GB2312" w:cs="Times New Roman"/>
          <w:color w:val="auto"/>
          <w:szCs w:val="32"/>
        </w:rPr>
        <w:t>6.广西壮族自治区人力资源和社会保障厅关于印发2025年全区专业技术人才知识更新工程任务计划的通知（桂人社函〔2025〕80号）</w:t>
      </w:r>
    </w:p>
    <w:p w14:paraId="4A4676E0">
      <w:pPr>
        <w:widowControl w:val="0"/>
        <w:overflowPunct w:val="0"/>
        <w:spacing w:line="520" w:lineRule="exact"/>
        <w:ind w:left="1856" w:leftChars="500" w:hanging="256" w:hangingChars="80"/>
        <w:rPr>
          <w:rFonts w:ascii="Times New Roman" w:hAnsi="Times New Roman" w:eastAsia="仿宋_GB2312" w:cs="Times New Roman"/>
          <w:color w:val="auto"/>
          <w:szCs w:val="32"/>
        </w:rPr>
      </w:pPr>
      <w:r>
        <w:rPr>
          <w:rFonts w:ascii="Times New Roman" w:hAnsi="Times New Roman" w:eastAsia="仿宋_GB2312" w:cs="Times New Roman"/>
          <w:color w:val="auto"/>
          <w:szCs w:val="32"/>
        </w:rPr>
        <w:t xml:space="preserve">7.自治区住房城乡建设厅关于发布2025年度全区住房城乡建设行业专业技术人员继续教育专业科目学习指南的通知（桂建人〔2025〕25号） </w:t>
      </w:r>
    </w:p>
    <w:p w14:paraId="7ECA42B2">
      <w:pPr>
        <w:widowControl w:val="0"/>
        <w:overflowPunct w:val="0"/>
        <w:spacing w:line="520" w:lineRule="exact"/>
        <w:ind w:firstLine="1600" w:firstLineChars="500"/>
        <w:rPr>
          <w:rFonts w:ascii="Times New Roman" w:hAnsi="Times New Roman" w:eastAsia="仿宋_GB2312" w:cs="Times New Roman"/>
          <w:color w:val="auto"/>
          <w:szCs w:val="32"/>
        </w:rPr>
      </w:pPr>
      <w:r>
        <w:rPr>
          <w:rFonts w:ascii="Times New Roman" w:hAnsi="Times New Roman" w:eastAsia="仿宋_GB2312" w:cs="Times New Roman"/>
          <w:color w:val="auto"/>
          <w:szCs w:val="32"/>
        </w:rPr>
        <w:t>8.无职称人员直接申报专业技术资格审批表</w:t>
      </w:r>
    </w:p>
    <w:p w14:paraId="1B7E4959">
      <w:pPr>
        <w:widowControl w:val="0"/>
        <w:overflowPunct w:val="0"/>
        <w:spacing w:line="520" w:lineRule="exact"/>
        <w:ind w:firstLine="1600" w:firstLineChars="500"/>
        <w:rPr>
          <w:rFonts w:ascii="Times New Roman" w:hAnsi="Times New Roman" w:eastAsia="仿宋_GB2312" w:cs="Times New Roman"/>
          <w:color w:val="auto"/>
          <w:szCs w:val="32"/>
        </w:rPr>
      </w:pPr>
      <w:r>
        <w:rPr>
          <w:rFonts w:ascii="Times New Roman" w:hAnsi="Times New Roman" w:eastAsia="仿宋_GB2312" w:cs="Times New Roman"/>
          <w:color w:val="auto"/>
          <w:szCs w:val="32"/>
        </w:rPr>
        <w:t>9.专业技术人员破格申报审批表</w:t>
      </w:r>
    </w:p>
    <w:p w14:paraId="3A734BA4">
      <w:pPr>
        <w:widowControl w:val="0"/>
        <w:overflowPunct w:val="0"/>
        <w:spacing w:line="520" w:lineRule="exact"/>
        <w:ind w:firstLine="1600" w:firstLineChars="500"/>
        <w:rPr>
          <w:rFonts w:ascii="Times New Roman" w:hAnsi="Times New Roman" w:eastAsia="仿宋_GB2312" w:cs="Times New Roman"/>
          <w:color w:val="auto"/>
          <w:szCs w:val="32"/>
        </w:rPr>
      </w:pPr>
      <w:r>
        <w:rPr>
          <w:rFonts w:ascii="Times New Roman" w:hAnsi="Times New Roman" w:eastAsia="仿宋_GB2312" w:cs="Times New Roman"/>
          <w:color w:val="auto"/>
          <w:szCs w:val="32"/>
        </w:rPr>
        <w:t>10.审议推荐小组专家名册表</w:t>
      </w:r>
    </w:p>
    <w:p w14:paraId="1A57996F">
      <w:pPr>
        <w:widowControl w:val="0"/>
        <w:overflowPunct w:val="0"/>
        <w:spacing w:line="520" w:lineRule="exact"/>
        <w:rPr>
          <w:rFonts w:ascii="Times New Roman" w:hAnsi="Times New Roman" w:eastAsia="仿宋_GB2312" w:cs="Times New Roman"/>
          <w:color w:val="auto"/>
          <w:szCs w:val="32"/>
        </w:rPr>
      </w:pPr>
    </w:p>
    <w:p w14:paraId="6EA687B1">
      <w:pPr>
        <w:widowControl w:val="0"/>
        <w:overflowPunct w:val="0"/>
        <w:spacing w:line="520" w:lineRule="exact"/>
        <w:ind w:firstLine="640" w:firstLineChars="200"/>
        <w:rPr>
          <w:rFonts w:hint="eastAsia" w:ascii="Times New Roman" w:hAnsi="Times New Roman" w:eastAsia="仿宋_GB2312" w:cs="Times New Roman"/>
          <w:color w:val="auto"/>
          <w:szCs w:val="32"/>
        </w:rPr>
      </w:pPr>
    </w:p>
    <w:p w14:paraId="2C349ED8">
      <w:pPr>
        <w:widowControl w:val="0"/>
        <w:overflowPunct w:val="0"/>
        <w:spacing w:line="520" w:lineRule="exact"/>
        <w:ind w:firstLine="640" w:firstLineChars="200"/>
        <w:rPr>
          <w:rFonts w:ascii="Times New Roman" w:hAnsi="Times New Roman" w:eastAsia="仿宋_GB2312" w:cs="Times New Roman"/>
          <w:color w:val="auto"/>
          <w:szCs w:val="32"/>
        </w:rPr>
      </w:pPr>
    </w:p>
    <w:p w14:paraId="0D3D3534">
      <w:pPr>
        <w:widowControl w:val="0"/>
        <w:wordWrap w:val="0"/>
        <w:overflowPunct w:val="0"/>
        <w:spacing w:line="520" w:lineRule="exact"/>
        <w:ind w:firstLine="640" w:firstLineChars="200"/>
        <w:jc w:val="right"/>
        <w:rPr>
          <w:rFonts w:hint="eastAsia" w:ascii="Times New Roman" w:hAnsi="Times New Roman" w:eastAsia="仿宋_GB2312" w:cs="Times New Roman"/>
          <w:color w:val="auto"/>
          <w:szCs w:val="32"/>
          <w:lang w:val="en-US" w:eastAsia="zh-CN"/>
        </w:rPr>
      </w:pPr>
      <w:r>
        <w:rPr>
          <w:rFonts w:ascii="Times New Roman" w:hAnsi="Times New Roman" w:eastAsia="仿宋_GB2312" w:cs="Times New Roman"/>
          <w:color w:val="auto"/>
          <w:szCs w:val="32"/>
        </w:rPr>
        <w:t>南宁市建设工程质量安全协会工程系列住建行业</w:t>
      </w:r>
      <w:r>
        <w:rPr>
          <w:rFonts w:hint="eastAsia" w:ascii="Times New Roman" w:hAnsi="Times New Roman" w:eastAsia="仿宋_GB2312" w:cs="Times New Roman"/>
          <w:color w:val="auto"/>
          <w:szCs w:val="32"/>
          <w:lang w:val="en-US" w:eastAsia="zh-CN"/>
        </w:rPr>
        <w:t xml:space="preserve"> </w:t>
      </w:r>
    </w:p>
    <w:p w14:paraId="055EF9A4">
      <w:pPr>
        <w:widowControl w:val="0"/>
        <w:wordWrap w:val="0"/>
        <w:overflowPunct w:val="0"/>
        <w:spacing w:line="520" w:lineRule="exact"/>
        <w:ind w:firstLine="640" w:firstLineChars="200"/>
        <w:jc w:val="right"/>
        <w:rPr>
          <w:rFonts w:hint="default" w:ascii="Times New Roman" w:hAnsi="Times New Roman" w:eastAsia="仿宋_GB2312" w:cs="Times New Roman"/>
          <w:color w:val="auto"/>
          <w:szCs w:val="32"/>
          <w:lang w:val="en-US" w:eastAsia="zh-CN"/>
        </w:rPr>
      </w:pPr>
      <w:r>
        <w:rPr>
          <w:rFonts w:ascii="Times New Roman" w:hAnsi="Times New Roman" w:eastAsia="仿宋_GB2312" w:cs="Times New Roman"/>
          <w:color w:val="auto"/>
          <w:szCs w:val="32"/>
        </w:rPr>
        <w:t>职称改革工作领导小组办公室</w:t>
      </w:r>
      <w:r>
        <w:rPr>
          <w:rFonts w:hint="eastAsia" w:ascii="Times New Roman" w:hAnsi="Times New Roman" w:eastAsia="仿宋_GB2312" w:cs="Times New Roman"/>
          <w:color w:val="auto"/>
          <w:szCs w:val="32"/>
          <w:lang w:val="en-US" w:eastAsia="zh-CN"/>
        </w:rPr>
        <w:t xml:space="preserve">         </w:t>
      </w:r>
    </w:p>
    <w:p w14:paraId="4DAF5C75">
      <w:pPr>
        <w:widowControl w:val="0"/>
        <w:wordWrap w:val="0"/>
        <w:overflowPunct w:val="0"/>
        <w:spacing w:line="520" w:lineRule="exact"/>
        <w:ind w:firstLine="640" w:firstLineChars="200"/>
        <w:jc w:val="right"/>
        <w:rPr>
          <w:rFonts w:hint="default" w:ascii="Times New Roman" w:hAnsi="Times New Roman" w:eastAsia="仿宋_GB2312" w:cs="Times New Roman"/>
          <w:color w:val="auto"/>
          <w:szCs w:val="32"/>
          <w:lang w:val="en-US" w:eastAsia="zh-CN"/>
        </w:rPr>
      </w:pPr>
      <w:r>
        <w:rPr>
          <w:rFonts w:ascii="Times New Roman" w:hAnsi="Times New Roman" w:eastAsia="仿宋_GB2312" w:cs="Times New Roman"/>
          <w:color w:val="auto"/>
          <w:szCs w:val="32"/>
        </w:rPr>
        <w:t>2025年7月</w:t>
      </w:r>
      <w:r>
        <w:rPr>
          <w:rFonts w:hint="eastAsia" w:ascii="Times New Roman" w:hAnsi="Times New Roman" w:eastAsia="仿宋_GB2312" w:cs="Times New Roman"/>
          <w:color w:val="auto"/>
          <w:szCs w:val="32"/>
          <w:lang w:val="en-US" w:eastAsia="zh-CN"/>
        </w:rPr>
        <w:t>15</w:t>
      </w:r>
      <w:r>
        <w:rPr>
          <w:rFonts w:ascii="Times New Roman" w:hAnsi="Times New Roman" w:eastAsia="仿宋_GB2312" w:cs="Times New Roman"/>
          <w:color w:val="auto"/>
          <w:szCs w:val="32"/>
        </w:rPr>
        <w:t>日</w:t>
      </w:r>
      <w:r>
        <w:rPr>
          <w:rFonts w:hint="eastAsia" w:ascii="Times New Roman" w:hAnsi="Times New Roman" w:eastAsia="仿宋_GB2312" w:cs="Times New Roman"/>
          <w:color w:val="auto"/>
          <w:szCs w:val="32"/>
          <w:lang w:val="en-US" w:eastAsia="zh-CN"/>
        </w:rPr>
        <w:t xml:space="preserve">               </w:t>
      </w:r>
    </w:p>
    <w:p w14:paraId="523C32AA">
      <w:pPr>
        <w:widowControl w:val="0"/>
        <w:overflowPunct w:val="0"/>
        <w:spacing w:line="520" w:lineRule="exact"/>
        <w:ind w:firstLine="640" w:firstLineChars="200"/>
        <w:rPr>
          <w:rFonts w:ascii="Times New Roman" w:hAnsi="Times New Roman" w:eastAsia="仿宋_GB2312" w:cs="Times New Roman"/>
          <w:color w:val="auto"/>
          <w:szCs w:val="32"/>
        </w:rPr>
      </w:pPr>
    </w:p>
    <w:p w14:paraId="59250B06">
      <w:pPr>
        <w:widowControl w:val="0"/>
        <w:overflowPunct w:val="0"/>
        <w:spacing w:line="520" w:lineRule="exact"/>
        <w:ind w:firstLine="640" w:firstLineChars="200"/>
        <w:rPr>
          <w:rFonts w:ascii="Times New Roman" w:hAnsi="Times New Roman" w:eastAsia="仿宋_GB2312" w:cs="Times New Roman"/>
          <w:color w:val="auto"/>
          <w:szCs w:val="32"/>
        </w:rPr>
      </w:pPr>
      <w:r>
        <w:rPr>
          <w:rFonts w:ascii="Times New Roman" w:hAnsi="Times New Roman" w:eastAsia="仿宋_GB2312" w:cs="Times New Roman"/>
          <w:color w:val="auto"/>
          <w:szCs w:val="32"/>
        </w:rPr>
        <w:t>（此件公开发布）</w:t>
      </w:r>
    </w:p>
    <w:p w14:paraId="309E4D86">
      <w:pPr>
        <w:widowControl w:val="0"/>
        <w:overflowPunct w:val="0"/>
        <w:ind w:firstLine="640" w:firstLineChars="200"/>
        <w:rPr>
          <w:rFonts w:ascii="Times New Roman" w:hAnsi="Times New Roman" w:eastAsia="仿宋_GB2312" w:cs="Times New Roman"/>
          <w:color w:val="auto"/>
          <w:szCs w:val="32"/>
        </w:rPr>
      </w:pPr>
    </w:p>
    <w:p w14:paraId="1682B2C5">
      <w:pPr>
        <w:widowControl w:val="0"/>
        <w:overflowPunct w:val="0"/>
        <w:rPr>
          <w:rFonts w:ascii="Times New Roman" w:hAnsi="Times New Roman" w:eastAsia="仿宋_GB2312" w:cs="Times New Roman"/>
          <w:color w:val="auto"/>
          <w:szCs w:val="32"/>
        </w:rPr>
      </w:pPr>
    </w:p>
    <w:p w14:paraId="554554C8">
      <w:pPr>
        <w:rPr>
          <w:rFonts w:ascii="Times New Roman" w:hAnsi="Times New Roman" w:eastAsia="仿宋_GB2312" w:cs="Times New Roman"/>
          <w:color w:val="auto"/>
          <w:szCs w:val="32"/>
        </w:rPr>
      </w:pPr>
    </w:p>
    <w:p w14:paraId="1A6352C7">
      <w:pPr>
        <w:rPr>
          <w:rFonts w:ascii="Times New Roman" w:hAnsi="Times New Roman" w:eastAsia="仿宋_GB2312" w:cs="Times New Roman"/>
          <w:color w:val="auto"/>
          <w:szCs w:val="32"/>
        </w:rPr>
      </w:pPr>
    </w:p>
    <w:p w14:paraId="0B98217C">
      <w:pPr>
        <w:rPr>
          <w:rFonts w:ascii="Times New Roman" w:hAnsi="Times New Roman" w:eastAsia="仿宋_GB2312" w:cs="Times New Roman"/>
          <w:color w:val="auto"/>
          <w:szCs w:val="32"/>
        </w:rPr>
      </w:pPr>
    </w:p>
    <w:p w14:paraId="0EDC79E9">
      <w:pPr>
        <w:rPr>
          <w:rFonts w:ascii="Times New Roman" w:hAnsi="Times New Roman" w:eastAsia="仿宋_GB2312" w:cs="Times New Roman"/>
          <w:color w:val="auto"/>
          <w:szCs w:val="32"/>
        </w:rPr>
      </w:pPr>
    </w:p>
    <w:p w14:paraId="22780CD8">
      <w:pPr>
        <w:rPr>
          <w:rFonts w:ascii="Times New Roman" w:hAnsi="Times New Roman" w:eastAsia="仿宋_GB2312" w:cs="Times New Roman"/>
          <w:color w:val="auto"/>
          <w:szCs w:val="32"/>
        </w:rPr>
      </w:pPr>
    </w:p>
    <w:p w14:paraId="260AA180">
      <w:pPr>
        <w:rPr>
          <w:rFonts w:ascii="Times New Roman" w:hAnsi="Times New Roman" w:eastAsia="仿宋_GB2312" w:cs="Times New Roman"/>
          <w:color w:val="auto"/>
          <w:szCs w:val="32"/>
        </w:rPr>
      </w:pPr>
    </w:p>
    <w:p w14:paraId="42EDE997">
      <w:pPr>
        <w:rPr>
          <w:rFonts w:ascii="Times New Roman" w:hAnsi="Times New Roman" w:eastAsia="仿宋_GB2312" w:cs="Times New Roman"/>
          <w:color w:val="auto"/>
          <w:szCs w:val="32"/>
        </w:rPr>
      </w:pPr>
    </w:p>
    <w:p w14:paraId="24F20559">
      <w:pPr>
        <w:rPr>
          <w:rFonts w:ascii="Times New Roman" w:hAnsi="Times New Roman" w:eastAsia="仿宋_GB2312" w:cs="Times New Roman"/>
          <w:color w:val="auto"/>
          <w:szCs w:val="32"/>
        </w:rPr>
      </w:pPr>
    </w:p>
    <w:p w14:paraId="17D7021A">
      <w:pPr>
        <w:rPr>
          <w:rFonts w:ascii="Times New Roman" w:hAnsi="Times New Roman" w:eastAsia="仿宋_GB2312" w:cs="Times New Roman"/>
          <w:color w:val="auto"/>
          <w:szCs w:val="32"/>
        </w:rPr>
      </w:pPr>
    </w:p>
    <w:p w14:paraId="35E1A294">
      <w:pPr>
        <w:rPr>
          <w:rFonts w:ascii="Times New Roman" w:hAnsi="Times New Roman" w:eastAsia="仿宋_GB2312" w:cs="Times New Roman"/>
          <w:color w:val="auto"/>
          <w:szCs w:val="32"/>
        </w:rPr>
      </w:pPr>
    </w:p>
    <w:p w14:paraId="54576540">
      <w:pPr>
        <w:rPr>
          <w:rFonts w:ascii="Times New Roman" w:hAnsi="Times New Roman" w:eastAsia="仿宋_GB2312" w:cs="Times New Roman"/>
          <w:color w:val="auto"/>
          <w:szCs w:val="32"/>
        </w:rPr>
      </w:pPr>
    </w:p>
    <w:p w14:paraId="364CD876">
      <w:pPr>
        <w:rPr>
          <w:rFonts w:ascii="Times New Roman" w:hAnsi="Times New Roman" w:eastAsia="仿宋_GB2312" w:cs="Times New Roman"/>
          <w:color w:val="auto"/>
          <w:szCs w:val="32"/>
        </w:rPr>
      </w:pPr>
    </w:p>
    <w:p w14:paraId="0FF1B231">
      <w:pPr>
        <w:rPr>
          <w:rFonts w:ascii="Times New Roman" w:hAnsi="Times New Roman" w:eastAsia="仿宋_GB2312" w:cs="Times New Roman"/>
          <w:color w:val="auto"/>
          <w:szCs w:val="32"/>
        </w:rPr>
      </w:pPr>
    </w:p>
    <w:tbl>
      <w:tblPr>
        <w:tblStyle w:val="9"/>
        <w:tblW w:w="0" w:type="auto"/>
        <w:tblInd w:w="136"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944"/>
      </w:tblGrid>
      <w:tr w14:paraId="671A8EBD">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944" w:type="dxa"/>
          </w:tcPr>
          <w:p w14:paraId="14314E4D">
            <w:pPr>
              <w:rPr>
                <w:rFonts w:ascii="Times New Roman" w:hAnsi="Times New Roman" w:eastAsia="仿宋_GB2312" w:cs="Times New Roman"/>
                <w:color w:val="auto"/>
                <w:sz w:val="28"/>
                <w:szCs w:val="28"/>
              </w:rPr>
            </w:pPr>
            <w:r>
              <w:rPr>
                <w:rFonts w:ascii="Times New Roman" w:hAnsi="Times New Roman" w:eastAsia="仿宋_GB2312" w:cs="Times New Roman"/>
                <w:color w:val="auto"/>
                <w:sz w:val="28"/>
                <w:szCs w:val="28"/>
              </w:rPr>
              <w:t xml:space="preserve">抄送：南宁市职称改革工作领导小组办公室    </w:t>
            </w:r>
          </w:p>
        </w:tc>
      </w:tr>
      <w:tr w14:paraId="28007341">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944" w:type="dxa"/>
          </w:tcPr>
          <w:p w14:paraId="7501ADC1">
            <w:pPr>
              <w:rPr>
                <w:rFonts w:ascii="Times New Roman" w:hAnsi="Times New Roman" w:eastAsia="仿宋_GB2312" w:cs="Times New Roman"/>
                <w:color w:val="auto"/>
                <w:sz w:val="28"/>
                <w:szCs w:val="28"/>
              </w:rPr>
            </w:pPr>
            <w:r>
              <w:rPr>
                <w:rFonts w:ascii="Times New Roman" w:hAnsi="Times New Roman" w:eastAsia="仿宋_GB2312" w:cs="Times New Roman"/>
                <w:color w:val="auto"/>
                <w:sz w:val="28"/>
                <w:szCs w:val="28"/>
              </w:rPr>
              <w:t>南宁市建设工程质量安全协会                 2025年7月</w:t>
            </w:r>
            <w:r>
              <w:rPr>
                <w:rFonts w:hint="eastAsia" w:ascii="Times New Roman" w:hAnsi="Times New Roman" w:eastAsia="仿宋_GB2312" w:cs="Times New Roman"/>
                <w:color w:val="auto"/>
                <w:sz w:val="28"/>
                <w:szCs w:val="28"/>
                <w:lang w:val="en-US" w:eastAsia="zh-CN"/>
              </w:rPr>
              <w:t>15</w:t>
            </w:r>
            <w:r>
              <w:rPr>
                <w:rFonts w:ascii="Times New Roman" w:hAnsi="Times New Roman" w:eastAsia="仿宋_GB2312" w:cs="Times New Roman"/>
                <w:color w:val="auto"/>
                <w:sz w:val="28"/>
                <w:szCs w:val="28"/>
              </w:rPr>
              <w:t>日印发</w:t>
            </w:r>
          </w:p>
        </w:tc>
      </w:tr>
    </w:tbl>
    <w:p w14:paraId="5651CA95">
      <w:pPr>
        <w:spacing w:line="20" w:lineRule="exact"/>
        <w:rPr>
          <w:rFonts w:ascii="Times New Roman" w:hAnsi="Times New Roman" w:eastAsia="仿宋_GB2312" w:cs="Times New Roman"/>
          <w:szCs w:val="32"/>
        </w:rPr>
      </w:pPr>
    </w:p>
    <w:sectPr>
      <w:footerReference r:id="rId5" w:type="default"/>
      <w:footerReference r:id="rId6" w:type="even"/>
      <w:pgSz w:w="11906" w:h="16838"/>
      <w:pgMar w:top="2098" w:right="1474" w:bottom="1985" w:left="1474" w:header="851" w:footer="992" w:gutter="0"/>
      <w:cols w:space="425" w:num="1"/>
      <w:docGrid w:type="lines" w:linePitch="43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31819594"/>
    </w:sdtPr>
    <w:sdtEndPr>
      <w:rPr>
        <w:rFonts w:hint="eastAsia" w:ascii="宋体" w:hAnsi="宋体" w:eastAsia="宋体"/>
        <w:sz w:val="28"/>
        <w:szCs w:val="28"/>
      </w:rPr>
    </w:sdtEndPr>
    <w:sdtContent>
      <w:p w14:paraId="040A28C8">
        <w:pPr>
          <w:pStyle w:val="6"/>
          <w:jc w:val="right"/>
          <w:rPr>
            <w:rFonts w:ascii="宋体" w:hAnsi="宋体" w:eastAsia="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PAGE   \* MERGEFORMAT</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w:t>
        </w:r>
      </w:p>
    </w:sdtContent>
  </w:sdt>
  <w:p w14:paraId="03723361">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6F3959">
    <w:pPr>
      <w:pStyle w:val="6"/>
      <w:rPr>
        <w:rFonts w:ascii="宋体" w:hAnsi="宋体" w:eastAsia="宋体" w:cs="宋体"/>
        <w:sz w:val="28"/>
        <w:szCs w:val="28"/>
      </w:rPr>
    </w:pPr>
    <w:r>
      <w:rPr>
        <w:rFonts w:hint="eastAsia" w:ascii="宋体" w:hAnsi="宋体" w:eastAsia="宋体" w:cs="宋体"/>
        <w:sz w:val="28"/>
        <w:szCs w:val="28"/>
      </w:rPr>
      <w:t>—</w:t>
    </w:r>
    <w:sdt>
      <w:sdtPr>
        <w:rPr>
          <w:rFonts w:hint="eastAsia" w:ascii="宋体" w:hAnsi="宋体" w:eastAsia="宋体" w:cs="宋体"/>
          <w:sz w:val="28"/>
          <w:szCs w:val="28"/>
        </w:rPr>
        <w:id w:val="-616143175"/>
      </w:sdtPr>
      <w:sdtEndPr>
        <w:rPr>
          <w:rFonts w:hint="eastAsia" w:ascii="宋体" w:hAnsi="宋体" w:eastAsia="宋体" w:cs="宋体"/>
          <w:sz w:val="28"/>
          <w:szCs w:val="28"/>
        </w:rPr>
      </w:sdtEndPr>
      <w:sdtContent>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PAGE   \* MERGEFORMAT</w:instrText>
        </w:r>
        <w:r>
          <w:rPr>
            <w:rFonts w:hint="eastAsia" w:ascii="宋体" w:hAnsi="宋体" w:eastAsia="宋体" w:cs="宋体"/>
            <w:sz w:val="28"/>
            <w:szCs w:val="28"/>
          </w:rPr>
          <w:fldChar w:fldCharType="separate"/>
        </w:r>
        <w:r>
          <w:rPr>
            <w:rFonts w:ascii="宋体" w:hAnsi="宋体" w:eastAsia="宋体" w:cs="宋体"/>
            <w:sz w:val="28"/>
            <w:szCs w:val="28"/>
          </w:rPr>
          <w:t>2</w:t>
        </w:r>
        <w:r>
          <w:rPr>
            <w:rFonts w:hint="eastAsia" w:ascii="宋体" w:hAnsi="宋体" w:eastAsia="宋体" w:cs="宋体"/>
            <w:sz w:val="28"/>
            <w:szCs w:val="28"/>
          </w:rPr>
          <w:fldChar w:fldCharType="end"/>
        </w:r>
      </w:sdtContent>
    </w:sdt>
    <w:r>
      <w:rPr>
        <w:rFonts w:hint="eastAsia" w:ascii="宋体" w:hAnsi="宋体" w:eastAsia="宋体" w:cs="宋体"/>
        <w:sz w:val="28"/>
        <w:szCs w:val="28"/>
      </w:rPr>
      <w:t>—</w:t>
    </w:r>
  </w:p>
  <w:p w14:paraId="2C630E0A">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60"/>
  <w:drawingGridVerticalSpacing w:val="435"/>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UxYmIwODU5YzQwNTBjMTBmNzMzZjg3NjRmNTUzYzIifQ=="/>
  </w:docVars>
  <w:rsids>
    <w:rsidRoot w:val="004A1D12"/>
    <w:rsid w:val="000001CB"/>
    <w:rsid w:val="000029B8"/>
    <w:rsid w:val="00005B0A"/>
    <w:rsid w:val="00011E66"/>
    <w:rsid w:val="000139C2"/>
    <w:rsid w:val="00014D70"/>
    <w:rsid w:val="00023105"/>
    <w:rsid w:val="00023F0B"/>
    <w:rsid w:val="00030F5F"/>
    <w:rsid w:val="00034A26"/>
    <w:rsid w:val="00041FFA"/>
    <w:rsid w:val="00043208"/>
    <w:rsid w:val="00044D48"/>
    <w:rsid w:val="00064CC8"/>
    <w:rsid w:val="00065D1B"/>
    <w:rsid w:val="00070FA3"/>
    <w:rsid w:val="00071399"/>
    <w:rsid w:val="00073FE1"/>
    <w:rsid w:val="0008187F"/>
    <w:rsid w:val="0009225B"/>
    <w:rsid w:val="00096015"/>
    <w:rsid w:val="000A7B3B"/>
    <w:rsid w:val="000B0F0D"/>
    <w:rsid w:val="000C3068"/>
    <w:rsid w:val="000D23CB"/>
    <w:rsid w:val="000D61D8"/>
    <w:rsid w:val="000F6F0F"/>
    <w:rsid w:val="000F7488"/>
    <w:rsid w:val="0010243C"/>
    <w:rsid w:val="001039B7"/>
    <w:rsid w:val="00104F61"/>
    <w:rsid w:val="001067FC"/>
    <w:rsid w:val="00111CB1"/>
    <w:rsid w:val="001151E8"/>
    <w:rsid w:val="001234B9"/>
    <w:rsid w:val="0012745D"/>
    <w:rsid w:val="001561FC"/>
    <w:rsid w:val="00161AD5"/>
    <w:rsid w:val="00171597"/>
    <w:rsid w:val="00176538"/>
    <w:rsid w:val="00177DA8"/>
    <w:rsid w:val="00177FF2"/>
    <w:rsid w:val="001811F7"/>
    <w:rsid w:val="001849AE"/>
    <w:rsid w:val="001855B4"/>
    <w:rsid w:val="00191DC6"/>
    <w:rsid w:val="001922C2"/>
    <w:rsid w:val="00195A32"/>
    <w:rsid w:val="001A4A1C"/>
    <w:rsid w:val="001A6DB0"/>
    <w:rsid w:val="001A7D2D"/>
    <w:rsid w:val="001B587A"/>
    <w:rsid w:val="001C0CBC"/>
    <w:rsid w:val="001C338F"/>
    <w:rsid w:val="001C53D2"/>
    <w:rsid w:val="001C59C6"/>
    <w:rsid w:val="001D083E"/>
    <w:rsid w:val="001D13B6"/>
    <w:rsid w:val="001D320F"/>
    <w:rsid w:val="001D6491"/>
    <w:rsid w:val="001E186A"/>
    <w:rsid w:val="001E415B"/>
    <w:rsid w:val="001F295F"/>
    <w:rsid w:val="001F34FA"/>
    <w:rsid w:val="00205CEE"/>
    <w:rsid w:val="00206736"/>
    <w:rsid w:val="002115EA"/>
    <w:rsid w:val="002206FE"/>
    <w:rsid w:val="002238A4"/>
    <w:rsid w:val="002261DE"/>
    <w:rsid w:val="002317EC"/>
    <w:rsid w:val="0023326A"/>
    <w:rsid w:val="00253CFE"/>
    <w:rsid w:val="00255148"/>
    <w:rsid w:val="00270F68"/>
    <w:rsid w:val="002724D2"/>
    <w:rsid w:val="002760B0"/>
    <w:rsid w:val="00285E6C"/>
    <w:rsid w:val="00287498"/>
    <w:rsid w:val="002914C9"/>
    <w:rsid w:val="002A0522"/>
    <w:rsid w:val="002A1373"/>
    <w:rsid w:val="002A5A08"/>
    <w:rsid w:val="002C672A"/>
    <w:rsid w:val="002D17D5"/>
    <w:rsid w:val="002E245A"/>
    <w:rsid w:val="002E7D3D"/>
    <w:rsid w:val="00300CA6"/>
    <w:rsid w:val="003032B4"/>
    <w:rsid w:val="00303328"/>
    <w:rsid w:val="00303BD0"/>
    <w:rsid w:val="00305924"/>
    <w:rsid w:val="00305976"/>
    <w:rsid w:val="00307D20"/>
    <w:rsid w:val="00314B99"/>
    <w:rsid w:val="00317136"/>
    <w:rsid w:val="00326961"/>
    <w:rsid w:val="0032750D"/>
    <w:rsid w:val="00327767"/>
    <w:rsid w:val="003352DB"/>
    <w:rsid w:val="00342AD8"/>
    <w:rsid w:val="003479EC"/>
    <w:rsid w:val="003550AC"/>
    <w:rsid w:val="003658AD"/>
    <w:rsid w:val="0036691D"/>
    <w:rsid w:val="00385390"/>
    <w:rsid w:val="00393CA4"/>
    <w:rsid w:val="003A7A8E"/>
    <w:rsid w:val="003B0DC5"/>
    <w:rsid w:val="003B0F7D"/>
    <w:rsid w:val="003B5D42"/>
    <w:rsid w:val="003C2BEA"/>
    <w:rsid w:val="003C3831"/>
    <w:rsid w:val="003C4DA9"/>
    <w:rsid w:val="003C580A"/>
    <w:rsid w:val="003F17F7"/>
    <w:rsid w:val="003F4A30"/>
    <w:rsid w:val="003F4F1B"/>
    <w:rsid w:val="0040755E"/>
    <w:rsid w:val="00410E5A"/>
    <w:rsid w:val="00413E44"/>
    <w:rsid w:val="00422C08"/>
    <w:rsid w:val="0042658A"/>
    <w:rsid w:val="00427739"/>
    <w:rsid w:val="004303DC"/>
    <w:rsid w:val="00432F69"/>
    <w:rsid w:val="00434165"/>
    <w:rsid w:val="00437B8F"/>
    <w:rsid w:val="004415D6"/>
    <w:rsid w:val="00441DF1"/>
    <w:rsid w:val="00442984"/>
    <w:rsid w:val="00450FFD"/>
    <w:rsid w:val="00453F79"/>
    <w:rsid w:val="004547B0"/>
    <w:rsid w:val="00455225"/>
    <w:rsid w:val="004559EA"/>
    <w:rsid w:val="0046138F"/>
    <w:rsid w:val="00473455"/>
    <w:rsid w:val="00474FFF"/>
    <w:rsid w:val="0049069C"/>
    <w:rsid w:val="0049565D"/>
    <w:rsid w:val="004A1D12"/>
    <w:rsid w:val="004A426C"/>
    <w:rsid w:val="004B1451"/>
    <w:rsid w:val="004B3190"/>
    <w:rsid w:val="004C28D4"/>
    <w:rsid w:val="004C41F9"/>
    <w:rsid w:val="004D1077"/>
    <w:rsid w:val="004D4518"/>
    <w:rsid w:val="004D5C34"/>
    <w:rsid w:val="004E04F5"/>
    <w:rsid w:val="004E10CD"/>
    <w:rsid w:val="004E18E5"/>
    <w:rsid w:val="004E2E0D"/>
    <w:rsid w:val="004E5212"/>
    <w:rsid w:val="004E5AA5"/>
    <w:rsid w:val="004E773E"/>
    <w:rsid w:val="004F17DE"/>
    <w:rsid w:val="004F4E2D"/>
    <w:rsid w:val="00501986"/>
    <w:rsid w:val="00503915"/>
    <w:rsid w:val="005238B6"/>
    <w:rsid w:val="00540346"/>
    <w:rsid w:val="00542152"/>
    <w:rsid w:val="005458ED"/>
    <w:rsid w:val="005547A7"/>
    <w:rsid w:val="00567F45"/>
    <w:rsid w:val="0057680C"/>
    <w:rsid w:val="00582E43"/>
    <w:rsid w:val="00583DB6"/>
    <w:rsid w:val="00593C73"/>
    <w:rsid w:val="00594296"/>
    <w:rsid w:val="005A063C"/>
    <w:rsid w:val="005A2548"/>
    <w:rsid w:val="005A4CF8"/>
    <w:rsid w:val="005B72A0"/>
    <w:rsid w:val="005D01D0"/>
    <w:rsid w:val="005D1069"/>
    <w:rsid w:val="005F5B9C"/>
    <w:rsid w:val="005F5FCE"/>
    <w:rsid w:val="00602F11"/>
    <w:rsid w:val="006105F7"/>
    <w:rsid w:val="00621698"/>
    <w:rsid w:val="00624156"/>
    <w:rsid w:val="00627F36"/>
    <w:rsid w:val="006315F9"/>
    <w:rsid w:val="006344B9"/>
    <w:rsid w:val="00650A61"/>
    <w:rsid w:val="006527CF"/>
    <w:rsid w:val="006541C4"/>
    <w:rsid w:val="00654B79"/>
    <w:rsid w:val="00655D22"/>
    <w:rsid w:val="00661FC7"/>
    <w:rsid w:val="00665607"/>
    <w:rsid w:val="0067056C"/>
    <w:rsid w:val="00675B22"/>
    <w:rsid w:val="006769BC"/>
    <w:rsid w:val="00684228"/>
    <w:rsid w:val="00686218"/>
    <w:rsid w:val="00686A4D"/>
    <w:rsid w:val="00690572"/>
    <w:rsid w:val="006A178E"/>
    <w:rsid w:val="006A235C"/>
    <w:rsid w:val="006B0546"/>
    <w:rsid w:val="006B0F1D"/>
    <w:rsid w:val="006B7F4A"/>
    <w:rsid w:val="006C32CE"/>
    <w:rsid w:val="006C4144"/>
    <w:rsid w:val="006C4E3D"/>
    <w:rsid w:val="006C7577"/>
    <w:rsid w:val="006D0D72"/>
    <w:rsid w:val="006F05F8"/>
    <w:rsid w:val="006F1871"/>
    <w:rsid w:val="006F262E"/>
    <w:rsid w:val="006F2D22"/>
    <w:rsid w:val="006F49FE"/>
    <w:rsid w:val="00706D3C"/>
    <w:rsid w:val="00736370"/>
    <w:rsid w:val="007367FD"/>
    <w:rsid w:val="00737A11"/>
    <w:rsid w:val="00754468"/>
    <w:rsid w:val="0075466E"/>
    <w:rsid w:val="0076011F"/>
    <w:rsid w:val="00762FBA"/>
    <w:rsid w:val="00774BB4"/>
    <w:rsid w:val="0078569B"/>
    <w:rsid w:val="00790750"/>
    <w:rsid w:val="0079254F"/>
    <w:rsid w:val="007B3CF2"/>
    <w:rsid w:val="007B6ABD"/>
    <w:rsid w:val="007B7138"/>
    <w:rsid w:val="007C080E"/>
    <w:rsid w:val="007C0F9B"/>
    <w:rsid w:val="007D39B3"/>
    <w:rsid w:val="007D6622"/>
    <w:rsid w:val="007E62AC"/>
    <w:rsid w:val="007F083F"/>
    <w:rsid w:val="007F28D6"/>
    <w:rsid w:val="008208D1"/>
    <w:rsid w:val="00821B6C"/>
    <w:rsid w:val="00830EE2"/>
    <w:rsid w:val="008310DE"/>
    <w:rsid w:val="00833EA6"/>
    <w:rsid w:val="00835D7A"/>
    <w:rsid w:val="00841382"/>
    <w:rsid w:val="00846EA7"/>
    <w:rsid w:val="0085136A"/>
    <w:rsid w:val="008544E1"/>
    <w:rsid w:val="00863891"/>
    <w:rsid w:val="00866423"/>
    <w:rsid w:val="0086670D"/>
    <w:rsid w:val="008776D9"/>
    <w:rsid w:val="00883D0A"/>
    <w:rsid w:val="00885E52"/>
    <w:rsid w:val="00886FDB"/>
    <w:rsid w:val="00892710"/>
    <w:rsid w:val="0089366E"/>
    <w:rsid w:val="00896A21"/>
    <w:rsid w:val="00897731"/>
    <w:rsid w:val="008B3B56"/>
    <w:rsid w:val="008B3D3E"/>
    <w:rsid w:val="008B6059"/>
    <w:rsid w:val="008C0394"/>
    <w:rsid w:val="008C0D64"/>
    <w:rsid w:val="008C3D03"/>
    <w:rsid w:val="008C445A"/>
    <w:rsid w:val="008D1CF3"/>
    <w:rsid w:val="008E1A65"/>
    <w:rsid w:val="008E56BC"/>
    <w:rsid w:val="008F0D6D"/>
    <w:rsid w:val="008F385A"/>
    <w:rsid w:val="00902A6D"/>
    <w:rsid w:val="00904674"/>
    <w:rsid w:val="0090761E"/>
    <w:rsid w:val="009113AC"/>
    <w:rsid w:val="00924669"/>
    <w:rsid w:val="00927607"/>
    <w:rsid w:val="00933876"/>
    <w:rsid w:val="009361B9"/>
    <w:rsid w:val="009412A7"/>
    <w:rsid w:val="00947777"/>
    <w:rsid w:val="009527EB"/>
    <w:rsid w:val="009566E8"/>
    <w:rsid w:val="00957D52"/>
    <w:rsid w:val="00961C26"/>
    <w:rsid w:val="00967084"/>
    <w:rsid w:val="0097073B"/>
    <w:rsid w:val="00971DE4"/>
    <w:rsid w:val="009732CE"/>
    <w:rsid w:val="00990F67"/>
    <w:rsid w:val="00991D0E"/>
    <w:rsid w:val="009A25C0"/>
    <w:rsid w:val="009A31F2"/>
    <w:rsid w:val="009A6064"/>
    <w:rsid w:val="009A6072"/>
    <w:rsid w:val="009B16ED"/>
    <w:rsid w:val="009B424A"/>
    <w:rsid w:val="009B7D55"/>
    <w:rsid w:val="009C7DAA"/>
    <w:rsid w:val="009D0E64"/>
    <w:rsid w:val="009D34AC"/>
    <w:rsid w:val="009E1833"/>
    <w:rsid w:val="009F13A4"/>
    <w:rsid w:val="009F5A68"/>
    <w:rsid w:val="009F60B2"/>
    <w:rsid w:val="00A003F0"/>
    <w:rsid w:val="00A040AA"/>
    <w:rsid w:val="00A06EC1"/>
    <w:rsid w:val="00A100D4"/>
    <w:rsid w:val="00A112C6"/>
    <w:rsid w:val="00A1250A"/>
    <w:rsid w:val="00A130D0"/>
    <w:rsid w:val="00A21900"/>
    <w:rsid w:val="00A21C66"/>
    <w:rsid w:val="00A2488E"/>
    <w:rsid w:val="00A25994"/>
    <w:rsid w:val="00A40649"/>
    <w:rsid w:val="00A514ED"/>
    <w:rsid w:val="00A62A9B"/>
    <w:rsid w:val="00A7020B"/>
    <w:rsid w:val="00A732AC"/>
    <w:rsid w:val="00A7379A"/>
    <w:rsid w:val="00A750E7"/>
    <w:rsid w:val="00A7526F"/>
    <w:rsid w:val="00A75C21"/>
    <w:rsid w:val="00A82038"/>
    <w:rsid w:val="00A8468D"/>
    <w:rsid w:val="00AA4041"/>
    <w:rsid w:val="00AA7280"/>
    <w:rsid w:val="00AB68D7"/>
    <w:rsid w:val="00AC4FA0"/>
    <w:rsid w:val="00AD7B09"/>
    <w:rsid w:val="00AE5E14"/>
    <w:rsid w:val="00B01A70"/>
    <w:rsid w:val="00B02A32"/>
    <w:rsid w:val="00B0325D"/>
    <w:rsid w:val="00B1275D"/>
    <w:rsid w:val="00B158F6"/>
    <w:rsid w:val="00B21802"/>
    <w:rsid w:val="00B23A62"/>
    <w:rsid w:val="00B31FFF"/>
    <w:rsid w:val="00B35DA4"/>
    <w:rsid w:val="00B35DC5"/>
    <w:rsid w:val="00B41D0B"/>
    <w:rsid w:val="00B423ED"/>
    <w:rsid w:val="00B45633"/>
    <w:rsid w:val="00B501C2"/>
    <w:rsid w:val="00B608E7"/>
    <w:rsid w:val="00B71829"/>
    <w:rsid w:val="00B71A4C"/>
    <w:rsid w:val="00B75041"/>
    <w:rsid w:val="00B81DBB"/>
    <w:rsid w:val="00BA02A4"/>
    <w:rsid w:val="00BA0627"/>
    <w:rsid w:val="00BA0E92"/>
    <w:rsid w:val="00BA2694"/>
    <w:rsid w:val="00BB7F28"/>
    <w:rsid w:val="00BC4334"/>
    <w:rsid w:val="00BC6574"/>
    <w:rsid w:val="00BD658A"/>
    <w:rsid w:val="00BE0BB8"/>
    <w:rsid w:val="00BF3709"/>
    <w:rsid w:val="00BF4B84"/>
    <w:rsid w:val="00BF5177"/>
    <w:rsid w:val="00C03E56"/>
    <w:rsid w:val="00C04AD8"/>
    <w:rsid w:val="00C06065"/>
    <w:rsid w:val="00C0707A"/>
    <w:rsid w:val="00C07257"/>
    <w:rsid w:val="00C07F53"/>
    <w:rsid w:val="00C26CFD"/>
    <w:rsid w:val="00C34FBF"/>
    <w:rsid w:val="00C407C2"/>
    <w:rsid w:val="00C42460"/>
    <w:rsid w:val="00C47C13"/>
    <w:rsid w:val="00C52A6B"/>
    <w:rsid w:val="00C55566"/>
    <w:rsid w:val="00C7017F"/>
    <w:rsid w:val="00C70D0D"/>
    <w:rsid w:val="00C7540B"/>
    <w:rsid w:val="00C76968"/>
    <w:rsid w:val="00C76CD6"/>
    <w:rsid w:val="00C93B39"/>
    <w:rsid w:val="00CA003D"/>
    <w:rsid w:val="00CA2AF9"/>
    <w:rsid w:val="00CA4BF1"/>
    <w:rsid w:val="00CB3490"/>
    <w:rsid w:val="00CB45B6"/>
    <w:rsid w:val="00CB5B2F"/>
    <w:rsid w:val="00CB7A66"/>
    <w:rsid w:val="00CC0812"/>
    <w:rsid w:val="00CC1D85"/>
    <w:rsid w:val="00CC7912"/>
    <w:rsid w:val="00CD6540"/>
    <w:rsid w:val="00CD79FF"/>
    <w:rsid w:val="00CE3588"/>
    <w:rsid w:val="00CE3B27"/>
    <w:rsid w:val="00CF20CC"/>
    <w:rsid w:val="00CF3752"/>
    <w:rsid w:val="00CF6066"/>
    <w:rsid w:val="00CF666F"/>
    <w:rsid w:val="00CF6B7D"/>
    <w:rsid w:val="00CF7C06"/>
    <w:rsid w:val="00D0011C"/>
    <w:rsid w:val="00D10146"/>
    <w:rsid w:val="00D11D11"/>
    <w:rsid w:val="00D1388C"/>
    <w:rsid w:val="00D154D8"/>
    <w:rsid w:val="00D228F0"/>
    <w:rsid w:val="00D32686"/>
    <w:rsid w:val="00D453B9"/>
    <w:rsid w:val="00D5088C"/>
    <w:rsid w:val="00D53358"/>
    <w:rsid w:val="00D534FF"/>
    <w:rsid w:val="00D543DA"/>
    <w:rsid w:val="00D56F5D"/>
    <w:rsid w:val="00D82146"/>
    <w:rsid w:val="00D91085"/>
    <w:rsid w:val="00D945E9"/>
    <w:rsid w:val="00DA0B95"/>
    <w:rsid w:val="00DA63CA"/>
    <w:rsid w:val="00DA665F"/>
    <w:rsid w:val="00DC28BF"/>
    <w:rsid w:val="00DC2B5B"/>
    <w:rsid w:val="00DC5A67"/>
    <w:rsid w:val="00DC5E8F"/>
    <w:rsid w:val="00DF0A7E"/>
    <w:rsid w:val="00DF6CEA"/>
    <w:rsid w:val="00E03F96"/>
    <w:rsid w:val="00E06260"/>
    <w:rsid w:val="00E062D2"/>
    <w:rsid w:val="00E10420"/>
    <w:rsid w:val="00E11BCF"/>
    <w:rsid w:val="00E1235E"/>
    <w:rsid w:val="00E13BA2"/>
    <w:rsid w:val="00E13F27"/>
    <w:rsid w:val="00E14F67"/>
    <w:rsid w:val="00E15886"/>
    <w:rsid w:val="00E15A3C"/>
    <w:rsid w:val="00E20777"/>
    <w:rsid w:val="00E25D52"/>
    <w:rsid w:val="00E50210"/>
    <w:rsid w:val="00E5486D"/>
    <w:rsid w:val="00E55641"/>
    <w:rsid w:val="00E70090"/>
    <w:rsid w:val="00E727F8"/>
    <w:rsid w:val="00E90E47"/>
    <w:rsid w:val="00E93DDF"/>
    <w:rsid w:val="00EA222B"/>
    <w:rsid w:val="00EA49EE"/>
    <w:rsid w:val="00EA5A76"/>
    <w:rsid w:val="00EC23F3"/>
    <w:rsid w:val="00EC5666"/>
    <w:rsid w:val="00ED52BB"/>
    <w:rsid w:val="00EE3AE3"/>
    <w:rsid w:val="00F039A2"/>
    <w:rsid w:val="00F0466B"/>
    <w:rsid w:val="00F121C6"/>
    <w:rsid w:val="00F22F1D"/>
    <w:rsid w:val="00F233AE"/>
    <w:rsid w:val="00F32DEB"/>
    <w:rsid w:val="00F41706"/>
    <w:rsid w:val="00F460CD"/>
    <w:rsid w:val="00F505EF"/>
    <w:rsid w:val="00F5175C"/>
    <w:rsid w:val="00F55819"/>
    <w:rsid w:val="00F5584D"/>
    <w:rsid w:val="00F5594D"/>
    <w:rsid w:val="00F56E56"/>
    <w:rsid w:val="00F61A81"/>
    <w:rsid w:val="00F64504"/>
    <w:rsid w:val="00F65F42"/>
    <w:rsid w:val="00F727FB"/>
    <w:rsid w:val="00F7384D"/>
    <w:rsid w:val="00F8656A"/>
    <w:rsid w:val="00F9128D"/>
    <w:rsid w:val="00F91BE0"/>
    <w:rsid w:val="00F921B6"/>
    <w:rsid w:val="00F925F9"/>
    <w:rsid w:val="00F978CC"/>
    <w:rsid w:val="00FA4F4B"/>
    <w:rsid w:val="00FA6C23"/>
    <w:rsid w:val="00FA73BD"/>
    <w:rsid w:val="00FB3849"/>
    <w:rsid w:val="00FD4A19"/>
    <w:rsid w:val="00FE2B38"/>
    <w:rsid w:val="00FE5197"/>
    <w:rsid w:val="00FF6F5B"/>
    <w:rsid w:val="03950013"/>
    <w:rsid w:val="03C129D8"/>
    <w:rsid w:val="045304AC"/>
    <w:rsid w:val="05C45700"/>
    <w:rsid w:val="06DB050C"/>
    <w:rsid w:val="06E4782C"/>
    <w:rsid w:val="0802440D"/>
    <w:rsid w:val="091B6FC9"/>
    <w:rsid w:val="09773D0A"/>
    <w:rsid w:val="097C3D4B"/>
    <w:rsid w:val="09C0052A"/>
    <w:rsid w:val="0A6839FC"/>
    <w:rsid w:val="0C5B76EA"/>
    <w:rsid w:val="0D736422"/>
    <w:rsid w:val="0D7D4536"/>
    <w:rsid w:val="0EBD108E"/>
    <w:rsid w:val="0F811CF8"/>
    <w:rsid w:val="0FBA34DA"/>
    <w:rsid w:val="10007308"/>
    <w:rsid w:val="10125409"/>
    <w:rsid w:val="11671785"/>
    <w:rsid w:val="11851C0B"/>
    <w:rsid w:val="11FF42A8"/>
    <w:rsid w:val="12175D99"/>
    <w:rsid w:val="129E4D32"/>
    <w:rsid w:val="159229F2"/>
    <w:rsid w:val="159E3278"/>
    <w:rsid w:val="15B8435D"/>
    <w:rsid w:val="174246E3"/>
    <w:rsid w:val="17731DAA"/>
    <w:rsid w:val="17A70B2D"/>
    <w:rsid w:val="18B34A21"/>
    <w:rsid w:val="1A580020"/>
    <w:rsid w:val="1AB31597"/>
    <w:rsid w:val="1C04468A"/>
    <w:rsid w:val="1CB44504"/>
    <w:rsid w:val="1CCD0955"/>
    <w:rsid w:val="1D5711E2"/>
    <w:rsid w:val="1DA8386E"/>
    <w:rsid w:val="1E110AAE"/>
    <w:rsid w:val="1F4C5B16"/>
    <w:rsid w:val="1F5F584A"/>
    <w:rsid w:val="1F875652"/>
    <w:rsid w:val="203444D7"/>
    <w:rsid w:val="20491A2B"/>
    <w:rsid w:val="210C6A10"/>
    <w:rsid w:val="212964DD"/>
    <w:rsid w:val="215348EE"/>
    <w:rsid w:val="21951F1E"/>
    <w:rsid w:val="21A57D5F"/>
    <w:rsid w:val="24994F5E"/>
    <w:rsid w:val="24C236FA"/>
    <w:rsid w:val="24D46CDA"/>
    <w:rsid w:val="253909CD"/>
    <w:rsid w:val="267D268A"/>
    <w:rsid w:val="26833FAC"/>
    <w:rsid w:val="277D7467"/>
    <w:rsid w:val="279443E0"/>
    <w:rsid w:val="27A01A7B"/>
    <w:rsid w:val="29341AF5"/>
    <w:rsid w:val="2A33534D"/>
    <w:rsid w:val="2AE01307"/>
    <w:rsid w:val="2AE05ACC"/>
    <w:rsid w:val="2C1D0F66"/>
    <w:rsid w:val="2C5D5807"/>
    <w:rsid w:val="2CEE2DF0"/>
    <w:rsid w:val="2D0839C4"/>
    <w:rsid w:val="2E073641"/>
    <w:rsid w:val="2EE50BC2"/>
    <w:rsid w:val="2F601BF4"/>
    <w:rsid w:val="2F6D6053"/>
    <w:rsid w:val="3025488D"/>
    <w:rsid w:val="306D38DE"/>
    <w:rsid w:val="30DC319E"/>
    <w:rsid w:val="3261232A"/>
    <w:rsid w:val="335B0752"/>
    <w:rsid w:val="35487373"/>
    <w:rsid w:val="3759268B"/>
    <w:rsid w:val="37620022"/>
    <w:rsid w:val="38E56878"/>
    <w:rsid w:val="38F51A62"/>
    <w:rsid w:val="394C69E7"/>
    <w:rsid w:val="3AA118FB"/>
    <w:rsid w:val="3AC47F18"/>
    <w:rsid w:val="3CE279C9"/>
    <w:rsid w:val="3D873286"/>
    <w:rsid w:val="3FA06623"/>
    <w:rsid w:val="40D53766"/>
    <w:rsid w:val="42451847"/>
    <w:rsid w:val="42621029"/>
    <w:rsid w:val="42E12896"/>
    <w:rsid w:val="43120CA1"/>
    <w:rsid w:val="43EB2462"/>
    <w:rsid w:val="44153672"/>
    <w:rsid w:val="44C147F8"/>
    <w:rsid w:val="45C845A4"/>
    <w:rsid w:val="46781E93"/>
    <w:rsid w:val="473A7631"/>
    <w:rsid w:val="480F1EC9"/>
    <w:rsid w:val="482B7710"/>
    <w:rsid w:val="482C45B3"/>
    <w:rsid w:val="48B65583"/>
    <w:rsid w:val="49757894"/>
    <w:rsid w:val="49AB4594"/>
    <w:rsid w:val="4A225C6E"/>
    <w:rsid w:val="4B120666"/>
    <w:rsid w:val="4B8D7BA2"/>
    <w:rsid w:val="4BEB208F"/>
    <w:rsid w:val="4CA02666"/>
    <w:rsid w:val="4CAF7561"/>
    <w:rsid w:val="4CB54216"/>
    <w:rsid w:val="4DAD2F73"/>
    <w:rsid w:val="4DAF58EE"/>
    <w:rsid w:val="4E162EFC"/>
    <w:rsid w:val="4E5E186B"/>
    <w:rsid w:val="4E704779"/>
    <w:rsid w:val="4E7D4F61"/>
    <w:rsid w:val="4EE31744"/>
    <w:rsid w:val="4EEC684A"/>
    <w:rsid w:val="505465F1"/>
    <w:rsid w:val="50F32112"/>
    <w:rsid w:val="5116753A"/>
    <w:rsid w:val="524162C4"/>
    <w:rsid w:val="52842483"/>
    <w:rsid w:val="53600D37"/>
    <w:rsid w:val="540A0BC8"/>
    <w:rsid w:val="56E96CDF"/>
    <w:rsid w:val="57236B81"/>
    <w:rsid w:val="577A1A4C"/>
    <w:rsid w:val="5B392E17"/>
    <w:rsid w:val="5B9872FF"/>
    <w:rsid w:val="5BE10DB9"/>
    <w:rsid w:val="5C7F696F"/>
    <w:rsid w:val="5C873EB5"/>
    <w:rsid w:val="5CA240BE"/>
    <w:rsid w:val="5E2D734C"/>
    <w:rsid w:val="5EC21376"/>
    <w:rsid w:val="5ECC5D50"/>
    <w:rsid w:val="600B0760"/>
    <w:rsid w:val="60434D17"/>
    <w:rsid w:val="610D7DCD"/>
    <w:rsid w:val="61117E09"/>
    <w:rsid w:val="61E6537B"/>
    <w:rsid w:val="61FC06FB"/>
    <w:rsid w:val="625C563D"/>
    <w:rsid w:val="62BE2FBF"/>
    <w:rsid w:val="6682044F"/>
    <w:rsid w:val="67207B39"/>
    <w:rsid w:val="67CC72B7"/>
    <w:rsid w:val="68183DB4"/>
    <w:rsid w:val="68232E85"/>
    <w:rsid w:val="685E3EBD"/>
    <w:rsid w:val="68B910F3"/>
    <w:rsid w:val="69A961C6"/>
    <w:rsid w:val="6BD21626"/>
    <w:rsid w:val="6C236402"/>
    <w:rsid w:val="6DC335C4"/>
    <w:rsid w:val="6DD0750B"/>
    <w:rsid w:val="6E2C6902"/>
    <w:rsid w:val="6E5A7A44"/>
    <w:rsid w:val="6E6E629C"/>
    <w:rsid w:val="6F524050"/>
    <w:rsid w:val="6FB96783"/>
    <w:rsid w:val="70260CB0"/>
    <w:rsid w:val="7218332F"/>
    <w:rsid w:val="75C613A5"/>
    <w:rsid w:val="760408BF"/>
    <w:rsid w:val="760F46FF"/>
    <w:rsid w:val="76481A30"/>
    <w:rsid w:val="777728A5"/>
    <w:rsid w:val="778E4BA8"/>
    <w:rsid w:val="7A320D06"/>
    <w:rsid w:val="7A8C3E17"/>
    <w:rsid w:val="7B051524"/>
    <w:rsid w:val="7B536746"/>
    <w:rsid w:val="7B7955F9"/>
    <w:rsid w:val="7E3075F0"/>
    <w:rsid w:val="7E4A7556"/>
    <w:rsid w:val="7E59047C"/>
    <w:rsid w:val="7EC01C08"/>
    <w:rsid w:val="7F230DBE"/>
    <w:rsid w:val="7FB85F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560" w:lineRule="exact"/>
      <w:jc w:val="both"/>
    </w:pPr>
    <w:rPr>
      <w:rFonts w:asciiTheme="minorHAnsi" w:hAnsiTheme="minorHAnsi" w:eastAsiaTheme="minorEastAsia" w:cstheme="minorBidi"/>
      <w:kern w:val="2"/>
      <w:sz w:val="32"/>
      <w:szCs w:val="22"/>
      <w:lang w:val="en-US" w:eastAsia="zh-CN" w:bidi="ar-SA"/>
    </w:rPr>
  </w:style>
  <w:style w:type="paragraph" w:styleId="2">
    <w:name w:val="heading 1"/>
    <w:basedOn w:val="1"/>
    <w:next w:val="1"/>
    <w:qFormat/>
    <w:uiPriority w:val="9"/>
    <w:pPr>
      <w:spacing w:beforeAutospacing="1" w:afterAutospacing="1"/>
      <w:jc w:val="left"/>
      <w:outlineLvl w:val="0"/>
    </w:pPr>
    <w:rPr>
      <w:rFonts w:hint="eastAsia" w:ascii="宋体" w:hAnsi="宋体" w:eastAsia="宋体" w:cs="Times New Roman"/>
      <w:b/>
      <w:bCs/>
      <w:kern w:val="44"/>
      <w:sz w:val="48"/>
      <w:szCs w:val="48"/>
    </w:rPr>
  </w:style>
  <w:style w:type="paragraph" w:styleId="3">
    <w:name w:val="heading 2"/>
    <w:basedOn w:val="1"/>
    <w:next w:val="1"/>
    <w:semiHidden/>
    <w:unhideWhenUsed/>
    <w:qFormat/>
    <w:uiPriority w:val="9"/>
    <w:pPr>
      <w:spacing w:beforeAutospacing="1" w:afterAutospacing="1"/>
      <w:jc w:val="left"/>
      <w:outlineLvl w:val="1"/>
    </w:pPr>
    <w:rPr>
      <w:rFonts w:hint="eastAsia" w:ascii="宋体" w:hAnsi="宋体" w:eastAsia="宋体" w:cs="Times New Roman"/>
      <w:b/>
      <w:bCs/>
      <w:kern w:val="0"/>
      <w:sz w:val="36"/>
      <w:szCs w:val="36"/>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4">
    <w:name w:val="Body Text"/>
    <w:basedOn w:val="1"/>
    <w:link w:val="16"/>
    <w:qFormat/>
    <w:uiPriority w:val="0"/>
    <w:pPr>
      <w:widowControl w:val="0"/>
      <w:spacing w:line="480" w:lineRule="exact"/>
    </w:pPr>
    <w:rPr>
      <w:rFonts w:ascii="Times New Roman" w:hAnsi="Times New Roman" w:eastAsia="仿宋_GB2312" w:cs="Times New Roman"/>
      <w:spacing w:val="-10"/>
      <w:kern w:val="0"/>
      <w:szCs w:val="24"/>
    </w:rPr>
  </w:style>
  <w:style w:type="paragraph" w:styleId="5">
    <w:name w:val="Balloon Text"/>
    <w:basedOn w:val="1"/>
    <w:link w:val="19"/>
    <w:semiHidden/>
    <w:unhideWhenUsed/>
    <w:qFormat/>
    <w:uiPriority w:val="99"/>
    <w:pPr>
      <w:spacing w:line="240" w:lineRule="auto"/>
    </w:pPr>
    <w:rPr>
      <w:sz w:val="18"/>
      <w:szCs w:val="18"/>
    </w:rPr>
  </w:style>
  <w:style w:type="paragraph" w:styleId="6">
    <w:name w:val="footer"/>
    <w:basedOn w:val="1"/>
    <w:link w:val="14"/>
    <w:unhideWhenUsed/>
    <w:qFormat/>
    <w:uiPriority w:val="99"/>
    <w:pPr>
      <w:widowControl w:val="0"/>
      <w:tabs>
        <w:tab w:val="center" w:pos="4153"/>
        <w:tab w:val="right" w:pos="8306"/>
      </w:tabs>
      <w:snapToGrid w:val="0"/>
      <w:spacing w:line="240" w:lineRule="auto"/>
      <w:jc w:val="left"/>
    </w:pPr>
    <w:rPr>
      <w:sz w:val="18"/>
      <w:szCs w:val="18"/>
    </w:rPr>
  </w:style>
  <w:style w:type="paragraph" w:styleId="7">
    <w:name w:val="header"/>
    <w:basedOn w:val="1"/>
    <w:link w:val="13"/>
    <w:unhideWhenUsed/>
    <w:qFormat/>
    <w:uiPriority w:val="99"/>
    <w:pPr>
      <w:widowControl w:val="0"/>
      <w:tabs>
        <w:tab w:val="center" w:pos="4153"/>
        <w:tab w:val="right" w:pos="8306"/>
      </w:tabs>
      <w:snapToGrid w:val="0"/>
      <w:spacing w:line="240" w:lineRule="auto"/>
      <w:jc w:val="center"/>
    </w:pPr>
    <w:rPr>
      <w:sz w:val="18"/>
      <w:szCs w:val="18"/>
    </w:rPr>
  </w:style>
  <w:style w:type="paragraph" w:styleId="8">
    <w:name w:val="Normal (Web)"/>
    <w:basedOn w:val="1"/>
    <w:unhideWhenUsed/>
    <w:qFormat/>
    <w:uiPriority w:val="99"/>
    <w:pPr>
      <w:spacing w:before="100" w:beforeAutospacing="1" w:after="100" w:afterAutospacing="1" w:line="240" w:lineRule="auto"/>
      <w:jc w:val="left"/>
    </w:pPr>
    <w:rPr>
      <w:rFonts w:ascii="宋体" w:hAnsi="宋体" w:eastAsia="宋体" w:cs="宋体"/>
      <w:kern w:val="0"/>
      <w:sz w:val="24"/>
      <w:szCs w:val="24"/>
    </w:rPr>
  </w:style>
  <w:style w:type="character" w:styleId="11">
    <w:name w:val="Strong"/>
    <w:basedOn w:val="10"/>
    <w:qFormat/>
    <w:uiPriority w:val="22"/>
    <w:rPr>
      <w:b/>
      <w:bCs/>
    </w:rPr>
  </w:style>
  <w:style w:type="character" w:styleId="12">
    <w:name w:val="Hyperlink"/>
    <w:basedOn w:val="10"/>
    <w:qFormat/>
    <w:uiPriority w:val="0"/>
    <w:rPr>
      <w:color w:val="0563C1" w:themeColor="hyperlink"/>
      <w:u w:val="single"/>
      <w14:textFill>
        <w14:solidFill>
          <w14:schemeClr w14:val="hlink"/>
        </w14:solidFill>
      </w14:textFill>
    </w:rPr>
  </w:style>
  <w:style w:type="character" w:customStyle="1" w:styleId="13">
    <w:name w:val="页眉 Char"/>
    <w:basedOn w:val="10"/>
    <w:link w:val="7"/>
    <w:qFormat/>
    <w:uiPriority w:val="99"/>
    <w:rPr>
      <w:sz w:val="18"/>
      <w:szCs w:val="18"/>
    </w:rPr>
  </w:style>
  <w:style w:type="character" w:customStyle="1" w:styleId="14">
    <w:name w:val="页脚 Char"/>
    <w:basedOn w:val="10"/>
    <w:link w:val="6"/>
    <w:qFormat/>
    <w:uiPriority w:val="99"/>
    <w:rPr>
      <w:sz w:val="18"/>
      <w:szCs w:val="18"/>
    </w:rPr>
  </w:style>
  <w:style w:type="character" w:customStyle="1" w:styleId="15">
    <w:name w:val="fontstyle01"/>
    <w:basedOn w:val="10"/>
    <w:qFormat/>
    <w:uiPriority w:val="0"/>
    <w:rPr>
      <w:rFonts w:hint="eastAsia" w:ascii="黑体" w:hAnsi="黑体" w:eastAsia="黑体"/>
      <w:color w:val="000000"/>
      <w:sz w:val="32"/>
      <w:szCs w:val="32"/>
    </w:rPr>
  </w:style>
  <w:style w:type="character" w:customStyle="1" w:styleId="16">
    <w:name w:val="正文文本 Char"/>
    <w:basedOn w:val="10"/>
    <w:link w:val="4"/>
    <w:qFormat/>
    <w:uiPriority w:val="0"/>
    <w:rPr>
      <w:rFonts w:ascii="Times New Roman" w:hAnsi="Times New Roman" w:eastAsia="仿宋_GB2312" w:cs="Times New Roman"/>
      <w:spacing w:val="-10"/>
      <w:kern w:val="0"/>
      <w:sz w:val="32"/>
      <w:szCs w:val="24"/>
    </w:rPr>
  </w:style>
  <w:style w:type="character" w:customStyle="1" w:styleId="17">
    <w:name w:val="未处理的提及1"/>
    <w:basedOn w:val="10"/>
    <w:semiHidden/>
    <w:unhideWhenUsed/>
    <w:qFormat/>
    <w:uiPriority w:val="99"/>
    <w:rPr>
      <w:color w:val="605E5C"/>
      <w:shd w:val="clear" w:color="auto" w:fill="E1DFDD"/>
    </w:rPr>
  </w:style>
  <w:style w:type="paragraph" w:styleId="18">
    <w:name w:val="List Paragraph"/>
    <w:basedOn w:val="1"/>
    <w:qFormat/>
    <w:uiPriority w:val="34"/>
    <w:pPr>
      <w:ind w:firstLine="420" w:firstLineChars="200"/>
    </w:pPr>
  </w:style>
  <w:style w:type="character" w:customStyle="1" w:styleId="19">
    <w:name w:val="批注框文本 Char"/>
    <w:basedOn w:val="10"/>
    <w:link w:val="5"/>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32</TotalTime>
  <Pages>22</Pages>
  <Words>11719</Words>
  <Characters>12125</Characters>
  <DocSecurity>0</DocSecurity>
  <Lines>88</Lines>
  <Paragraphs>24</Paragraphs>
  <ScaleCrop>false</ScaleCrop>
  <LinksUpToDate>false</LinksUpToDate>
  <CharactersWithSpaces>12205</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2023-07-11T09:52:00Z</cp:lastPrinted>
  <dcterms:created xsi:type="dcterms:W3CDTF">2025-07-14T07:48:00Z</dcterms:created>
  <dcterms:modified xsi:type="dcterms:W3CDTF">2025-07-15T00:17:44Z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DA21D5E8F1B844D2A799F02B14EE8354_12</vt:lpwstr>
  </property>
  <property fmtid="{D5CDD505-2E9C-101B-9397-08002B2CF9AE}" pid="4" name="KSOTemplateDocerSaveRecord">
    <vt:lpwstr>eyJoZGlkIjoiZTk4NGU1MDQ3ZDUxNDU0NzQ1ZDczNGQ3N2Y0MWYwYzQiLCJ1c2VySWQiOiI3MDIyMTM5MTgifQ==</vt:lpwstr>
  </property>
</Properties>
</file>