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66A4">
      <w:pPr>
        <w:autoSpaceDE w:val="0"/>
        <w:autoSpaceDN w:val="0"/>
        <w:adjustRightInd w:val="0"/>
        <w:snapToGrid w:val="0"/>
        <w:spacing w:line="320" w:lineRule="exact"/>
        <w:jc w:val="center"/>
        <w:rPr>
          <w:rFonts w:hint="eastAsia" w:ascii="宋体" w:hAnsi="宋体"/>
          <w:b/>
          <w:bCs/>
          <w:color w:val="auto"/>
          <w:sz w:val="28"/>
          <w:szCs w:val="28"/>
        </w:rPr>
      </w:pPr>
      <w:bookmarkStart w:id="0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南宁市建设工程安全文明标准化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评分汇总表</w:t>
      </w:r>
    </w:p>
    <w:p w14:paraId="79A620D9">
      <w:pPr>
        <w:spacing w:line="400" w:lineRule="exact"/>
        <w:jc w:val="center"/>
        <w:rPr>
          <w:rFonts w:hint="eastAsia" w:ascii="仿宋" w:hAnsi="仿宋" w:eastAsia="仿宋"/>
          <w:b/>
          <w:bCs/>
          <w:snapToGrid w:val="0"/>
          <w:color w:val="auto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</w:rPr>
        <w:t>公路工程部分（安全生产）</w:t>
      </w:r>
    </w:p>
    <w:p w14:paraId="563B623E">
      <w:pPr>
        <w:jc w:val="center"/>
        <w:rPr>
          <w:rFonts w:hint="eastAsia" w:ascii="宋体" w:hAnsi="宋体"/>
          <w:color w:val="auto"/>
          <w:szCs w:val="21"/>
        </w:rPr>
      </w:pPr>
    </w:p>
    <w:p w14:paraId="425F541C">
      <w:pPr>
        <w:ind w:firstLine="210" w:firstLineChars="100"/>
        <w:jc w:val="left"/>
        <w:rPr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工程名称:                                                                </w:t>
      </w:r>
      <w:r>
        <w:rPr>
          <w:rFonts w:hint="eastAsia"/>
          <w:color w:val="auto"/>
          <w:szCs w:val="21"/>
        </w:rPr>
        <w:t>检查日期：　　　　　表二</w:t>
      </w:r>
    </w:p>
    <w:tbl>
      <w:tblPr>
        <w:tblStyle w:val="4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1ED82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90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42E894B3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4AD48B48">
            <w:pPr>
              <w:spacing w:line="280" w:lineRule="exact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42CE7E0F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29A5AC24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B23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233D33E2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3CDE97B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16DE2BF2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11B9B952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123F7855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建筑面积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64282FF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714C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90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3399696E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100F7BD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673375E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0A37719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得分</w:t>
            </w:r>
          </w:p>
        </w:tc>
      </w:tr>
      <w:tr w14:paraId="57E1D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527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6FE5CEEC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安  全   生  产 （30分）</w:t>
            </w:r>
          </w:p>
        </w:tc>
        <w:tc>
          <w:tcPr>
            <w:tcW w:w="992" w:type="dxa"/>
            <w:noWrap/>
            <w:vAlign w:val="center"/>
          </w:tcPr>
          <w:p w14:paraId="4685BF45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1AB787F7">
            <w:pPr>
              <w:widowControl/>
              <w:spacing w:line="280" w:lineRule="exact"/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危大工程未编制专项施工方案或方案未经审核、审批的；</w:t>
            </w:r>
            <w:r>
              <w:rPr>
                <w:b/>
                <w:color w:val="auto"/>
                <w:szCs w:val="21"/>
              </w:rPr>
              <w:t>超过一定规模的危</w:t>
            </w:r>
            <w:r>
              <w:rPr>
                <w:rFonts w:hint="eastAsia"/>
                <w:b/>
                <w:color w:val="auto"/>
                <w:szCs w:val="21"/>
              </w:rPr>
              <w:t>大</w:t>
            </w:r>
            <w:r>
              <w:rPr>
                <w:b/>
                <w:color w:val="auto"/>
                <w:szCs w:val="21"/>
              </w:rPr>
              <w:t>工程未按规定组织专家进行论证，或专项方案未按专家论证意见修改完善的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；外架搭设滞后于作业面或高出作业面高度不符合规范要求的；外架主节点处未设置横向水平杆的；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外架连墙件设置不符合要求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</w:rPr>
              <w:t>的；模板支架、泵送混凝土立管和施工电梯停层平台与脚手架连接的；架体搭设材料与方案不符的；模板支撑的种类现场与方案不符的；超过3.6m使用门式架或插销式钢管支撑的；单层支撑的；叠层搭设的；钢管支架与木支架混用或不同形式的钢管支架混用的；基坑开挖不符合设计和施工方案要求的；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</w:rPr>
              <w:t>施工过程中使用无产品标准规范的新技术、新工艺、新材料、新设备的。</w:t>
            </w:r>
          </w:p>
        </w:tc>
        <w:tc>
          <w:tcPr>
            <w:tcW w:w="709" w:type="dxa"/>
            <w:noWrap/>
            <w:vAlign w:val="center"/>
          </w:tcPr>
          <w:p w14:paraId="138DA809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14092633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350A6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670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70944431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77E6B66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54A904C">
            <w:pPr>
              <w:widowControl/>
              <w:spacing w:line="280" w:lineRule="exac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脚手架防护系统无验收手续的；无架体配件进场验收记录、合格证及扣件抽样复试报告的；无模板支架验收记录的；高大模板无安全要点检查表（高大模板安全要点检查表、高大模板支架整架验收记录表、扣件拧紧抽查检查表）的；安全帽、安全网、安全带无合格证；操作平台、吊篮、防护棚无验收手续的；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 xml:space="preserve">未能提交基坑工程的第三方监测和施工监测资料的。    </w:t>
            </w:r>
            <w:r>
              <w:rPr>
                <w:rFonts w:hint="eastAsia"/>
                <w:color w:val="auto"/>
                <w:szCs w:val="21"/>
              </w:rPr>
              <w:t>每项扣2~</w:t>
            </w:r>
            <w:r>
              <w:rPr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7FFFBAD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519775D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46A38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383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3DD6FBB1">
            <w:pPr>
              <w:spacing w:line="280" w:lineRule="exact"/>
              <w:ind w:left="113" w:right="113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6C1FA26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脚手架</w:t>
            </w:r>
          </w:p>
          <w:p w14:paraId="360A1CBD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DB79B61">
            <w:pPr>
              <w:widowControl/>
              <w:spacing w:line="280" w:lineRule="exac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外架安全网封闭未做到严密整洁，有破损的；外架未做到整洁美观的；外架基础未硬化、有积水或下沉现象、底座不符的；扫地杆设置不符合规范要求的；剪刀撑设置不符合要求的；脚手板铺设不严密，封闭层数不符合要求的；外架上有杂物的；悬挑型钢、锚固、拉结不符合方案、规范要求的；悬挑层未封闭或封闭不严的；附着式提升脚手架安全装置、附着、安装、升降、作业不符合方案、规范要求的。     每项扣</w:t>
            </w:r>
            <w:r>
              <w:rPr>
                <w:rFonts w:hint="eastAsia"/>
                <w:color w:val="auto"/>
                <w:szCs w:val="21"/>
              </w:rPr>
              <w:t>3~</w:t>
            </w:r>
            <w:r>
              <w:rPr>
                <w:color w:val="auto"/>
                <w:szCs w:val="21"/>
              </w:rPr>
              <w:t>5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0B6F08FA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3D241AF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734E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55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E06FF7E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0F2BDDC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模板支架</w:t>
            </w:r>
          </w:p>
          <w:p w14:paraId="76A591CC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102E97E">
            <w:pPr>
              <w:widowControl/>
              <w:spacing w:line="280" w:lineRule="exac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Calibri" w:hAnsi="Calibri"/>
                <w:color w:val="auto"/>
              </w:rPr>
              <w:t>模板支架纵距、横距、步距、剪刀撑间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距、水平杆、扫地杆、底座不符合专项方案要求的；立杆顶部自由端长度超</w:t>
            </w:r>
            <w:r>
              <w:rPr>
                <w:rFonts w:ascii="宋体" w:hAnsi="宋体" w:cs="宋体"/>
                <w:color w:val="auto"/>
                <w:kern w:val="0"/>
                <w:szCs w:val="21"/>
              </w:rPr>
              <w:t>50cm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，顶托螺杆长度大于20cm</w:t>
            </w:r>
            <w:r>
              <w:rPr>
                <w:rFonts w:hint="eastAsia" w:ascii="Calibri" w:hAnsi="Calibri"/>
                <w:color w:val="auto"/>
              </w:rPr>
              <w:t>，封顶杆不符合要求的。     每处扣2分</w:t>
            </w:r>
          </w:p>
        </w:tc>
        <w:tc>
          <w:tcPr>
            <w:tcW w:w="709" w:type="dxa"/>
            <w:noWrap/>
            <w:vAlign w:val="center"/>
          </w:tcPr>
          <w:p w14:paraId="2EA07D2A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DCC0197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189AD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639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EAD63C7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69BDC63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高处作业</w:t>
            </w:r>
          </w:p>
          <w:p w14:paraId="7764B2EE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634D6C9">
            <w:pPr>
              <w:widowControl/>
              <w:spacing w:line="280" w:lineRule="exact"/>
              <w:rPr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安全帽、安全带不正确使用的，每人扣1分；临</w:t>
            </w:r>
            <w:r>
              <w:rPr>
                <w:rFonts w:hint="eastAsia"/>
                <w:color w:val="auto"/>
                <w:szCs w:val="21"/>
              </w:rPr>
              <w:t>边、洞口、通道口、楼梯口防护不严密的，每处扣1~4分；未使用标准化的防护设施的。扣</w:t>
            </w:r>
            <w:r>
              <w:rPr>
                <w:color w:val="auto"/>
                <w:szCs w:val="21"/>
              </w:rPr>
              <w:t>2</w:t>
            </w:r>
            <w:r>
              <w:rPr>
                <w:rFonts w:hint="eastAsia"/>
                <w:color w:val="auto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332E31DB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0647D58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857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662" w:hRule="atLeast"/>
          <w:jc w:val="center"/>
        </w:trPr>
        <w:tc>
          <w:tcPr>
            <w:tcW w:w="908" w:type="dxa"/>
            <w:vMerge w:val="continue"/>
            <w:noWrap/>
          </w:tcPr>
          <w:p w14:paraId="19182473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4A6F46D1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  <w:t>路基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工程（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88DBBFC">
            <w:pPr>
              <w:widowControl/>
              <w:spacing w:line="280" w:lineRule="exact"/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路堑的开挖与填筑不符合要求的，挡土墙的施工不符合规范要求的，边坡防护不符合规范要求的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。     每项扣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auto"/>
                <w:szCs w:val="21"/>
              </w:rPr>
              <w:t>~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2CAB47C4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45547CA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43547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11" w:hRule="atLeast"/>
          <w:jc w:val="center"/>
        </w:trPr>
        <w:tc>
          <w:tcPr>
            <w:tcW w:w="908" w:type="dxa"/>
            <w:vMerge w:val="continue"/>
            <w:noWrap/>
          </w:tcPr>
          <w:p w14:paraId="4B68319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4CBC7220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  <w:t>桥梁工程</w:t>
            </w:r>
          </w:p>
          <w:p w14:paraId="6550941E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  <w:t>（4分）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EEA67B5">
            <w:pPr>
              <w:widowControl/>
              <w:spacing w:line="280" w:lineRule="exact"/>
              <w:rPr>
                <w:rFonts w:hint="default" w:ascii="宋体" w:hAns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孔桩施工不符合规范要求的，围堰施工不符合规范要求的，运输、架设不符合规范要求的，桥面施工不符合规范要求的。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 xml:space="preserve">    每项扣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auto"/>
                <w:szCs w:val="21"/>
              </w:rPr>
              <w:t>~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0DB9FAD9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378D026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02730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360" w:hRule="atLeast"/>
          <w:jc w:val="center"/>
        </w:trPr>
        <w:tc>
          <w:tcPr>
            <w:tcW w:w="908" w:type="dxa"/>
            <w:vMerge w:val="continue"/>
            <w:noWrap/>
          </w:tcPr>
          <w:p w14:paraId="45969A04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D4CF94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隧道施工（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shd w:val="clear" w:color="auto" w:fill="auto"/>
            <w:noWrap/>
            <w:vAlign w:val="center"/>
          </w:tcPr>
          <w:p w14:paraId="404FBB89">
            <w:pPr>
              <w:widowControl/>
              <w:spacing w:line="280" w:lineRule="exact"/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矿山法施工不符合规范要求的。扣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5D967170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3BDEEFCC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 w14:paraId="5C31C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8" w:hRule="atLeast"/>
          <w:jc w:val="center"/>
        </w:trPr>
        <w:tc>
          <w:tcPr>
            <w:tcW w:w="908" w:type="dxa"/>
            <w:noWrap/>
          </w:tcPr>
          <w:p w14:paraId="3EDAB453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加分项</w:t>
            </w:r>
          </w:p>
          <w:p w14:paraId="2A22A555">
            <w:pPr>
              <w:bidi/>
              <w:spacing w:line="28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（1-5分）</w:t>
            </w:r>
          </w:p>
        </w:tc>
        <w:tc>
          <w:tcPr>
            <w:tcW w:w="992" w:type="dxa"/>
            <w:noWrap/>
            <w:vAlign w:val="center"/>
          </w:tcPr>
          <w:p w14:paraId="23AB0C47"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_GB2312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color w:val="auto"/>
                <w:kern w:val="0"/>
                <w:szCs w:val="21"/>
              </w:rPr>
              <w:t>（1-5分）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2F4CA06">
            <w:pPr>
              <w:widowControl/>
              <w:spacing w:line="280" w:lineRule="exact"/>
              <w:rPr>
                <w:rFonts w:hint="eastAsia" w:ascii="宋体" w:hAnsi="宋体" w:cs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使用</w:t>
            </w:r>
            <w:r>
              <w:rPr>
                <w:rFonts w:hint="eastAsia" w:ascii="宋体" w:hAnsi="宋体" w:cs="宋体"/>
                <w:snapToGrid w:val="0"/>
                <w:color w:val="auto"/>
                <w:kern w:val="0"/>
                <w:szCs w:val="21"/>
              </w:rPr>
              <w:t>新材料、新设备、新工艺、新技术、专利技术、建设工法等，</w:t>
            </w:r>
            <w:r>
              <w:rPr>
                <w:rFonts w:hint="eastAsia" w:ascii="宋体" w:hAnsi="宋体" w:cs="宋体"/>
                <w:color w:val="auto"/>
                <w:szCs w:val="21"/>
              </w:rPr>
              <w:t>如承办市级、区级观摩工地的。</w:t>
            </w:r>
          </w:p>
          <w:p w14:paraId="24FAD370">
            <w:pPr>
              <w:widowControl/>
              <w:spacing w:line="280" w:lineRule="exac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53C70F7E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 w:val="84"/>
                <w:szCs w:val="84"/>
              </w:rPr>
            </w:pPr>
          </w:p>
        </w:tc>
        <w:tc>
          <w:tcPr>
            <w:tcW w:w="567" w:type="dxa"/>
            <w:noWrap/>
            <w:vAlign w:val="center"/>
          </w:tcPr>
          <w:p w14:paraId="5498CD6F">
            <w:pPr>
              <w:spacing w:line="280" w:lineRule="exact"/>
              <w:jc w:val="center"/>
              <w:rPr>
                <w:rFonts w:hint="eastAsia" w:ascii="宋体" w:hAnsi="宋体"/>
                <w:color w:val="auto"/>
                <w:sz w:val="84"/>
                <w:szCs w:val="84"/>
              </w:rPr>
            </w:pPr>
          </w:p>
        </w:tc>
      </w:tr>
      <w:tr w14:paraId="39081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6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29B745DA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检查人（签字）：   </w:t>
            </w:r>
          </w:p>
        </w:tc>
      </w:tr>
    </w:tbl>
    <w:p w14:paraId="1F4E415C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589AC64B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411D68AC">
      <w:pPr>
        <w:ind w:left="630" w:leftChars="300"/>
        <w:rPr>
          <w:szCs w:val="21"/>
        </w:rPr>
      </w:pPr>
      <w:r>
        <w:rPr>
          <w:rFonts w:hint="eastAsia"/>
          <w:szCs w:val="21"/>
        </w:rPr>
        <w:t>3.如有缺项时，安全生产得分=实查项目实得分值之和/实查项目应得分值之和×30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692A34EE"/>
    <w:rsid w:val="00003D48"/>
    <w:rsid w:val="00007EE9"/>
    <w:rsid w:val="00040533"/>
    <w:rsid w:val="000850CF"/>
    <w:rsid w:val="00166BF4"/>
    <w:rsid w:val="0018036E"/>
    <w:rsid w:val="001873DD"/>
    <w:rsid w:val="001E2D9C"/>
    <w:rsid w:val="00217D46"/>
    <w:rsid w:val="00270DCA"/>
    <w:rsid w:val="002B10E8"/>
    <w:rsid w:val="002E1C30"/>
    <w:rsid w:val="0033661D"/>
    <w:rsid w:val="00342ECC"/>
    <w:rsid w:val="0034618B"/>
    <w:rsid w:val="00394FF7"/>
    <w:rsid w:val="00462E86"/>
    <w:rsid w:val="00494E46"/>
    <w:rsid w:val="004A1F9C"/>
    <w:rsid w:val="004B1064"/>
    <w:rsid w:val="004E76FB"/>
    <w:rsid w:val="00511175"/>
    <w:rsid w:val="00522C70"/>
    <w:rsid w:val="005264F9"/>
    <w:rsid w:val="00557553"/>
    <w:rsid w:val="00583A7E"/>
    <w:rsid w:val="005A2837"/>
    <w:rsid w:val="005B65DC"/>
    <w:rsid w:val="00613AD0"/>
    <w:rsid w:val="00681A94"/>
    <w:rsid w:val="006B5EC7"/>
    <w:rsid w:val="006F4AD7"/>
    <w:rsid w:val="007257EE"/>
    <w:rsid w:val="00792246"/>
    <w:rsid w:val="007B3C78"/>
    <w:rsid w:val="007D66FB"/>
    <w:rsid w:val="00802EBC"/>
    <w:rsid w:val="00807E5C"/>
    <w:rsid w:val="00822CB4"/>
    <w:rsid w:val="008644BD"/>
    <w:rsid w:val="0087522C"/>
    <w:rsid w:val="00883310"/>
    <w:rsid w:val="008A0EB5"/>
    <w:rsid w:val="008F3630"/>
    <w:rsid w:val="008F569E"/>
    <w:rsid w:val="009071A2"/>
    <w:rsid w:val="0092016B"/>
    <w:rsid w:val="00925994"/>
    <w:rsid w:val="00983E36"/>
    <w:rsid w:val="009A33BF"/>
    <w:rsid w:val="009F03A1"/>
    <w:rsid w:val="00A13860"/>
    <w:rsid w:val="00A27D50"/>
    <w:rsid w:val="00A3036D"/>
    <w:rsid w:val="00A52B39"/>
    <w:rsid w:val="00A85013"/>
    <w:rsid w:val="00A932E3"/>
    <w:rsid w:val="00AA5830"/>
    <w:rsid w:val="00B65B87"/>
    <w:rsid w:val="00BA1F4C"/>
    <w:rsid w:val="00BD5A20"/>
    <w:rsid w:val="00C15340"/>
    <w:rsid w:val="00C2736D"/>
    <w:rsid w:val="00C66925"/>
    <w:rsid w:val="00C82C19"/>
    <w:rsid w:val="00C90D41"/>
    <w:rsid w:val="00CB7014"/>
    <w:rsid w:val="00D45444"/>
    <w:rsid w:val="00E818A6"/>
    <w:rsid w:val="00E92BA6"/>
    <w:rsid w:val="00E944BD"/>
    <w:rsid w:val="00F34D50"/>
    <w:rsid w:val="00F454C2"/>
    <w:rsid w:val="00F94C36"/>
    <w:rsid w:val="00FA0649"/>
    <w:rsid w:val="00FD2F06"/>
    <w:rsid w:val="00FE7C3E"/>
    <w:rsid w:val="069E189C"/>
    <w:rsid w:val="0C756672"/>
    <w:rsid w:val="11C82E0A"/>
    <w:rsid w:val="155A1517"/>
    <w:rsid w:val="1ACC5BFA"/>
    <w:rsid w:val="1BD70547"/>
    <w:rsid w:val="1EB24CCD"/>
    <w:rsid w:val="1F6F0AC1"/>
    <w:rsid w:val="28D14E9C"/>
    <w:rsid w:val="2DC84567"/>
    <w:rsid w:val="2F767FB9"/>
    <w:rsid w:val="312A5354"/>
    <w:rsid w:val="34E70EF2"/>
    <w:rsid w:val="3595794A"/>
    <w:rsid w:val="36F22E6D"/>
    <w:rsid w:val="3FC02745"/>
    <w:rsid w:val="44BE14A1"/>
    <w:rsid w:val="485E555A"/>
    <w:rsid w:val="4D882F5E"/>
    <w:rsid w:val="55C8483C"/>
    <w:rsid w:val="566A004B"/>
    <w:rsid w:val="5B4F591A"/>
    <w:rsid w:val="5E0D4368"/>
    <w:rsid w:val="60AB11AE"/>
    <w:rsid w:val="639A36A7"/>
    <w:rsid w:val="63D264E7"/>
    <w:rsid w:val="645A538F"/>
    <w:rsid w:val="65627148"/>
    <w:rsid w:val="692A34EE"/>
    <w:rsid w:val="7BBF2936"/>
    <w:rsid w:val="7C1A52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LFKJ</Company>
  <Pages>1</Pages>
  <Words>1195</Words>
  <Characters>1223</Characters>
  <Lines>9</Lines>
  <Paragraphs>2</Paragraphs>
  <TotalTime>12</TotalTime>
  <ScaleCrop>false</ScaleCrop>
  <LinksUpToDate>false</LinksUpToDate>
  <CharactersWithSpaces>1326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2025-09-14T08:41:00Z</cp:lastPrinted>
  <dcterms:modified xsi:type="dcterms:W3CDTF">2026-01-27T00:54:07Z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E40E157E32CA45DC8EA597C9F5857FD2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