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FB19F">
      <w:pPr>
        <w:jc w:val="center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南</w:t>
      </w:r>
      <w:bookmarkStart w:id="0" w:name="_GoBack"/>
      <w:r>
        <w:rPr>
          <w:rFonts w:hint="eastAsia" w:ascii="宋体" w:hAnsi="宋体"/>
          <w:b/>
          <w:bCs/>
          <w:color w:val="auto"/>
          <w:sz w:val="28"/>
          <w:szCs w:val="28"/>
        </w:rPr>
        <w:t>宁市</w:t>
      </w: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>建设工程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</w:rPr>
        <w:t>工地学习交流活动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核查评分表</w:t>
      </w:r>
    </w:p>
    <w:p w14:paraId="5C2872E8">
      <w:pPr>
        <w:spacing w:line="400" w:lineRule="exact"/>
        <w:jc w:val="center"/>
        <w:rPr>
          <w:rFonts w:ascii="仿宋" w:hAnsi="仿宋" w:eastAsia="仿宋"/>
          <w:b/>
          <w:bCs/>
          <w:snapToGrid w:val="0"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  <w:t>城市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lang w:val="en-US" w:eastAsia="zh-CN"/>
        </w:rPr>
        <w:t>轨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  <w:t>道交通部分（安全生产）</w:t>
      </w:r>
    </w:p>
    <w:p w14:paraId="48EE5E5F">
      <w:pPr>
        <w:jc w:val="center"/>
        <w:rPr>
          <w:rFonts w:ascii="宋体" w:hAnsi="宋体"/>
          <w:color w:val="auto"/>
          <w:szCs w:val="21"/>
        </w:rPr>
      </w:pPr>
    </w:p>
    <w:p w14:paraId="791D723A">
      <w:pPr>
        <w:ind w:left="7560" w:hanging="7560" w:hangingChars="3600"/>
        <w:jc w:val="left"/>
        <w:rPr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工程名称:                                                   </w:t>
      </w:r>
      <w:r>
        <w:rPr>
          <w:rFonts w:hint="eastAsia"/>
          <w:color w:val="auto"/>
          <w:szCs w:val="21"/>
        </w:rPr>
        <w:t>检查日期：　　　　　　　表二</w:t>
      </w:r>
    </w:p>
    <w:tbl>
      <w:tblPr>
        <w:tblStyle w:val="4"/>
        <w:tblpPr w:leftFromText="180" w:rightFromText="180" w:vertAnchor="text" w:tblpXSpec="center" w:tblpY="1"/>
        <w:tblOverlap w:val="never"/>
        <w:tblW w:w="10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28" w:type="dxa"/>
          <w:right w:w="57" w:type="dxa"/>
        </w:tblCellMar>
      </w:tblPr>
      <w:tblGrid>
        <w:gridCol w:w="908"/>
        <w:gridCol w:w="992"/>
        <w:gridCol w:w="1338"/>
        <w:gridCol w:w="2037"/>
        <w:gridCol w:w="1023"/>
        <w:gridCol w:w="2831"/>
        <w:gridCol w:w="709"/>
        <w:gridCol w:w="567"/>
      </w:tblGrid>
      <w:tr w14:paraId="28378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90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02B1C5C8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施工单位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28A1DB37"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23" w:type="dxa"/>
            <w:noWrap/>
            <w:vAlign w:val="center"/>
          </w:tcPr>
          <w:p w14:paraId="645E88EF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监理单位</w:t>
            </w:r>
          </w:p>
        </w:tc>
        <w:tc>
          <w:tcPr>
            <w:tcW w:w="4107" w:type="dxa"/>
            <w:gridSpan w:val="3"/>
            <w:noWrap/>
            <w:vAlign w:val="center"/>
          </w:tcPr>
          <w:p w14:paraId="5D97ACEB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DE92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0B4E677E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结构类型</w:t>
            </w:r>
          </w:p>
        </w:tc>
        <w:tc>
          <w:tcPr>
            <w:tcW w:w="1338" w:type="dxa"/>
            <w:noWrap/>
            <w:vAlign w:val="center"/>
          </w:tcPr>
          <w:p w14:paraId="3B589818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037" w:type="dxa"/>
            <w:noWrap/>
            <w:vAlign w:val="center"/>
          </w:tcPr>
          <w:p w14:paraId="40A830AB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结构层数</w:t>
            </w:r>
          </w:p>
        </w:tc>
        <w:tc>
          <w:tcPr>
            <w:tcW w:w="1023" w:type="dxa"/>
            <w:noWrap/>
            <w:vAlign w:val="center"/>
          </w:tcPr>
          <w:p w14:paraId="59CD0000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831" w:type="dxa"/>
            <w:noWrap/>
            <w:vAlign w:val="center"/>
          </w:tcPr>
          <w:p w14:paraId="7289D86C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建筑面积</w:t>
            </w:r>
          </w:p>
        </w:tc>
        <w:tc>
          <w:tcPr>
            <w:tcW w:w="1276" w:type="dxa"/>
            <w:gridSpan w:val="2"/>
            <w:noWrap/>
            <w:vAlign w:val="center"/>
          </w:tcPr>
          <w:p w14:paraId="769ADC86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B678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90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766FD9B0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D69BEE9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检查要求</w:t>
            </w:r>
          </w:p>
        </w:tc>
        <w:tc>
          <w:tcPr>
            <w:tcW w:w="709" w:type="dxa"/>
            <w:noWrap/>
            <w:vAlign w:val="center"/>
          </w:tcPr>
          <w:p w14:paraId="5A5F9A7C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扣分</w:t>
            </w:r>
          </w:p>
        </w:tc>
        <w:tc>
          <w:tcPr>
            <w:tcW w:w="567" w:type="dxa"/>
            <w:noWrap/>
            <w:vAlign w:val="center"/>
          </w:tcPr>
          <w:p w14:paraId="48B06BD6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得分</w:t>
            </w:r>
          </w:p>
        </w:tc>
      </w:tr>
      <w:tr w14:paraId="231A3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2527" w:hRule="atLeast"/>
          <w:jc w:val="center"/>
        </w:trPr>
        <w:tc>
          <w:tcPr>
            <w:tcW w:w="908" w:type="dxa"/>
            <w:vMerge w:val="restart"/>
            <w:noWrap/>
            <w:textDirection w:val="tbRlV"/>
            <w:vAlign w:val="center"/>
          </w:tcPr>
          <w:p w14:paraId="0C4FA70B">
            <w:pPr>
              <w:spacing w:line="280" w:lineRule="exact"/>
              <w:ind w:left="113" w:right="113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安  全   生  产 （30分）</w:t>
            </w:r>
          </w:p>
        </w:tc>
        <w:tc>
          <w:tcPr>
            <w:tcW w:w="992" w:type="dxa"/>
            <w:noWrap/>
            <w:vAlign w:val="center"/>
          </w:tcPr>
          <w:p w14:paraId="1D4E5EB5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1E989737">
            <w:pPr>
              <w:widowControl/>
              <w:spacing w:line="280" w:lineRule="exact"/>
              <w:rPr>
                <w:rFonts w:ascii="宋体" w:hAns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危大工程未编制专项施工方案或方案未经审核、审批的；</w:t>
            </w:r>
            <w:r>
              <w:rPr>
                <w:b/>
                <w:color w:val="auto"/>
                <w:szCs w:val="21"/>
              </w:rPr>
              <w:t>超过一定规模的危</w:t>
            </w:r>
            <w:r>
              <w:rPr>
                <w:rFonts w:hint="eastAsia"/>
                <w:b/>
                <w:color w:val="auto"/>
                <w:szCs w:val="21"/>
              </w:rPr>
              <w:t>大</w:t>
            </w:r>
            <w:r>
              <w:rPr>
                <w:b/>
                <w:color w:val="auto"/>
                <w:szCs w:val="21"/>
              </w:rPr>
              <w:t>工程未按规定组织专家进行论证，或专项方案未按专家论证意见修改完善的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；外架搭设滞后于作业面或高出作业面高度不符合规范要求的；外架主节点处未设置横向水平杆的；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外架连墙件设置不符合要求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的；模板支架、泵送混凝土立管和施工电梯停层平台与脚手架连接的；架体搭设材料与方案不符的；模板支撑的种类现场与方案不符的；超过3.6m使用门式架或插销式钢管支撑的；叠层搭设的；钢管支架与与木支架混用或不同形式的钢管支架混用的；基坑开挖不符合设计和施工方案要求的；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施工过程中使用无产品标准规范的新技术、新工艺、新材料、新设备的。</w:t>
            </w:r>
          </w:p>
        </w:tc>
        <w:tc>
          <w:tcPr>
            <w:tcW w:w="709" w:type="dxa"/>
            <w:noWrap/>
            <w:vAlign w:val="center"/>
          </w:tcPr>
          <w:p w14:paraId="676F9BA0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09E323C5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0B2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670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367E264A">
            <w:pPr>
              <w:spacing w:line="280" w:lineRule="exact"/>
              <w:ind w:left="113" w:right="113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416BE6FA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资料管理（5分）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829062C">
            <w:pPr>
              <w:widowControl/>
              <w:spacing w:line="280" w:lineRule="exac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脚手架防护系统无验收手续的；无架体配件进场验收记录、合格证及扣件抽样复试报告的；无模板支架验收记录的；高大模板无安全要点检查表（高大模板安全要点检查表、高大模板支架整架验收记录表、扣件拧紧抽查检查表）的；安全帽、安全网、安全带无合格证；无基坑工程降水试验记录的；无基坑坍塌应急救援预案的；无基坑施工监测方案的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 xml:space="preserve">。    </w:t>
            </w:r>
            <w:r>
              <w:rPr>
                <w:rFonts w:hint="eastAsia"/>
                <w:color w:val="auto"/>
                <w:szCs w:val="21"/>
              </w:rPr>
              <w:t>每项扣2~</w:t>
            </w:r>
            <w:r>
              <w:rPr>
                <w:color w:val="auto"/>
                <w:szCs w:val="21"/>
              </w:rPr>
              <w:t>5</w:t>
            </w:r>
            <w:r>
              <w:rPr>
                <w:rFonts w:hint="eastAsia"/>
                <w:color w:val="auto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7D5843BC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0BF2BBCF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2177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383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7389E510">
            <w:pPr>
              <w:spacing w:line="280" w:lineRule="exact"/>
              <w:ind w:left="113" w:right="113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2C22065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脚手架</w:t>
            </w:r>
          </w:p>
          <w:p w14:paraId="4405E248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30CA794">
            <w:pPr>
              <w:widowControl/>
              <w:spacing w:line="280" w:lineRule="exac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外架安全网封闭未做到严密整洁，有破损的；外架未做到整洁美观的；外架基础未硬化、有积水或下沉现象、底座不符的；扫地杆设置不符合规范要求的；剪刀撑设置不符合要求的；脚手板铺设不严密，封闭层数不符合要求的；外架上有杂物的；悬挑型钢、锚固、拉结不符合方案、规范要求的；悬挑层未封闭或封闭不严的。     每项扣</w:t>
            </w:r>
            <w:r>
              <w:rPr>
                <w:rFonts w:hint="eastAsia"/>
                <w:color w:val="auto"/>
                <w:szCs w:val="21"/>
              </w:rPr>
              <w:t>3~</w:t>
            </w:r>
            <w:r>
              <w:rPr>
                <w:color w:val="auto"/>
                <w:szCs w:val="21"/>
              </w:rPr>
              <w:t>5</w:t>
            </w:r>
            <w:r>
              <w:rPr>
                <w:rFonts w:hint="eastAsia"/>
                <w:color w:val="auto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7769D124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552B933C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EE55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237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0E7D7933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6B2E1C24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模板支架</w:t>
            </w:r>
          </w:p>
          <w:p w14:paraId="0A936FC0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E24E889">
            <w:pPr>
              <w:widowControl/>
              <w:spacing w:line="280" w:lineRule="exac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Calibri" w:hAnsi="Calibri"/>
                <w:color w:val="auto"/>
              </w:rPr>
              <w:t>模板支架纵距、横距、步距、剪刀撑间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距、水平杆、扫地杆、底座不符合专项方案要求的；立杆顶部自由端长度超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50cm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，顶托螺杆长度大于20cm</w:t>
            </w:r>
            <w:r>
              <w:rPr>
                <w:rFonts w:hint="eastAsia" w:ascii="Calibri" w:hAnsi="Calibri"/>
                <w:color w:val="auto"/>
              </w:rPr>
              <w:t>，封顶杆不符合要求的。     每处扣2分</w:t>
            </w:r>
          </w:p>
        </w:tc>
        <w:tc>
          <w:tcPr>
            <w:tcW w:w="709" w:type="dxa"/>
            <w:noWrap/>
            <w:vAlign w:val="center"/>
          </w:tcPr>
          <w:p w14:paraId="427D7E2A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585770DF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5039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89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3B6B65E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371E2D0E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高处作业</w:t>
            </w:r>
          </w:p>
          <w:p w14:paraId="6FD8C1C8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C5638A7">
            <w:pPr>
              <w:widowControl/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安全帽、安全带不正确使用的，每人扣1分；临</w:t>
            </w:r>
            <w:r>
              <w:rPr>
                <w:rFonts w:hint="eastAsia"/>
                <w:color w:val="auto"/>
                <w:szCs w:val="21"/>
              </w:rPr>
              <w:t>边、洞口、通道口、电梯井内、管道井内防护不严密的，每处扣1~4分；未使用标准化的防护设施的。扣</w:t>
            </w:r>
            <w:r>
              <w:rPr>
                <w:color w:val="auto"/>
                <w:szCs w:val="21"/>
              </w:rPr>
              <w:t>2</w:t>
            </w:r>
            <w:r>
              <w:rPr>
                <w:rFonts w:hint="eastAsia"/>
                <w:color w:val="auto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4B29B10F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23D0C725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97F9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342" w:hRule="atLeast"/>
          <w:jc w:val="center"/>
        </w:trPr>
        <w:tc>
          <w:tcPr>
            <w:tcW w:w="908" w:type="dxa"/>
            <w:vMerge w:val="continue"/>
            <w:noWrap/>
          </w:tcPr>
          <w:p w14:paraId="362500CA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5118DB2E">
            <w:pPr>
              <w:widowControl/>
              <w:spacing w:line="280" w:lineRule="exact"/>
              <w:jc w:val="center"/>
              <w:rPr>
                <w:rFonts w:ascii="宋体" w:hAnsi="宋体" w:cs="宋体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基坑工程（5分）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6F6BF30">
            <w:pPr>
              <w:widowControl/>
              <w:spacing w:line="280" w:lineRule="exact"/>
              <w:rPr>
                <w:rFonts w:ascii="宋体" w:hAnsi="宋体" w:cs="宋体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基坑支护不符合设计要求的；未按方案设置排水沟的；基坑边堆置土、料具、施工机械等距离超出基坑支护规范允许范围的；未按监测方案以基坑进行监测的；未按规定对施工影响范围内建（构）筑物、重要管线和道路等进行沉降观测的。       每项扣</w:t>
            </w:r>
            <w:r>
              <w:rPr>
                <w:rFonts w:hint="eastAsia"/>
                <w:color w:val="auto"/>
                <w:szCs w:val="21"/>
              </w:rPr>
              <w:t>3~</w:t>
            </w:r>
            <w:r>
              <w:rPr>
                <w:color w:val="auto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384821F3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33112C3D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2C028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783" w:hRule="atLeast"/>
          <w:jc w:val="center"/>
        </w:trPr>
        <w:tc>
          <w:tcPr>
            <w:tcW w:w="908" w:type="dxa"/>
            <w:vMerge w:val="continue"/>
            <w:noWrap/>
          </w:tcPr>
          <w:p w14:paraId="04C8D08C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446A64DB">
            <w:pPr>
              <w:widowControl/>
              <w:spacing w:line="280" w:lineRule="exact"/>
              <w:jc w:val="center"/>
              <w:rPr>
                <w:rFonts w:ascii="宋体" w:hAnsi="宋体" w:cs="宋体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隧道施工（6分）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3244D12">
            <w:pPr>
              <w:widowControl/>
              <w:spacing w:line="280" w:lineRule="exact"/>
              <w:rPr>
                <w:rFonts w:ascii="宋体" w:hAnsi="宋体" w:cs="宋体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盾构法施工不符合规范要求的，扣6分；矿山法施工不符合规范要求的。扣6分</w:t>
            </w:r>
          </w:p>
        </w:tc>
        <w:tc>
          <w:tcPr>
            <w:tcW w:w="709" w:type="dxa"/>
            <w:noWrap/>
            <w:vAlign w:val="center"/>
          </w:tcPr>
          <w:p w14:paraId="6D45AEA3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4F3D178B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912D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55" w:hRule="atLeast"/>
          <w:jc w:val="center"/>
        </w:trPr>
        <w:tc>
          <w:tcPr>
            <w:tcW w:w="908" w:type="dxa"/>
            <w:noWrap/>
            <w:vAlign w:val="center"/>
          </w:tcPr>
          <w:p w14:paraId="5238E3CE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加分项（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1-5分）</w:t>
            </w:r>
          </w:p>
        </w:tc>
        <w:tc>
          <w:tcPr>
            <w:tcW w:w="992" w:type="dxa"/>
            <w:noWrap/>
            <w:vAlign w:val="center"/>
          </w:tcPr>
          <w:p w14:paraId="57276D0F">
            <w:pPr>
              <w:spacing w:line="280" w:lineRule="exact"/>
              <w:jc w:val="center"/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>1-5分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0997045">
            <w:pPr>
              <w:widowControl/>
              <w:spacing w:line="280" w:lineRule="exact"/>
              <w:jc w:val="both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</w:rPr>
              <w:t>新材料、新设备、新工艺、新技术、专利技术、建设工法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。</w:t>
            </w:r>
          </w:p>
          <w:p w14:paraId="1CEF1DC6">
            <w:pPr>
              <w:spacing w:line="280" w:lineRule="exact"/>
              <w:jc w:val="left"/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</w:pPr>
          </w:p>
        </w:tc>
        <w:tc>
          <w:tcPr>
            <w:tcW w:w="709" w:type="dxa"/>
            <w:noWrap/>
            <w:vAlign w:val="center"/>
          </w:tcPr>
          <w:p w14:paraId="1E80EA81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79E099A9"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9FFF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10" w:hRule="atLeast"/>
          <w:jc w:val="center"/>
        </w:trPr>
        <w:tc>
          <w:tcPr>
            <w:tcW w:w="10405" w:type="dxa"/>
            <w:gridSpan w:val="8"/>
            <w:noWrap/>
            <w:vAlign w:val="center"/>
          </w:tcPr>
          <w:p w14:paraId="18546AAC">
            <w:pPr>
              <w:spacing w:line="280" w:lineRule="exact"/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检查人（签字）：   </w:t>
            </w:r>
          </w:p>
        </w:tc>
      </w:tr>
    </w:tbl>
    <w:p w14:paraId="640BB1F5">
      <w:pPr>
        <w:ind w:left="630" w:leftChars="100" w:hanging="420" w:hangingChars="200"/>
        <w:rPr>
          <w:szCs w:val="21"/>
        </w:rPr>
      </w:pPr>
      <w:r>
        <w:rPr>
          <w:rFonts w:hint="eastAsia"/>
          <w:szCs w:val="21"/>
        </w:rPr>
        <w:t>注：1.检查内容中保证项目不符合要求的该评分项目为</w:t>
      </w:r>
      <w:r>
        <w:rPr>
          <w:szCs w:val="21"/>
        </w:rPr>
        <w:t>0</w:t>
      </w:r>
      <w:r>
        <w:rPr>
          <w:rFonts w:hint="eastAsia"/>
          <w:szCs w:val="21"/>
        </w:rPr>
        <w:t>分。</w:t>
      </w:r>
    </w:p>
    <w:p w14:paraId="3BF2510C">
      <w:pPr>
        <w:ind w:left="630" w:leftChars="300"/>
        <w:rPr>
          <w:szCs w:val="21"/>
        </w:rPr>
      </w:pPr>
      <w:r>
        <w:rPr>
          <w:rFonts w:hint="eastAsia"/>
          <w:szCs w:val="21"/>
        </w:rPr>
        <w:t>2.</w:t>
      </w:r>
      <w:r>
        <w:t>每项次扣分按发现违反的点位累加，扣完为止</w:t>
      </w:r>
      <w:r>
        <w:rPr>
          <w:rFonts w:hint="eastAsia"/>
        </w:rPr>
        <w:t>。</w:t>
      </w:r>
    </w:p>
    <w:p w14:paraId="0C6F7348">
      <w:pPr>
        <w:ind w:left="630" w:leftChars="300"/>
        <w:rPr>
          <w:szCs w:val="21"/>
        </w:rPr>
      </w:pPr>
      <w:r>
        <w:rPr>
          <w:rFonts w:hint="eastAsia"/>
          <w:szCs w:val="21"/>
        </w:rPr>
        <w:t>3.如有缺项时，安全生产得分=实查项目实得分值之和/实查项目应得分值之和×30</w:t>
      </w:r>
    </w:p>
    <w:sectPr>
      <w:pgSz w:w="11906" w:h="16838"/>
      <w:pgMar w:top="238" w:right="567" w:bottom="142" w:left="567" w:header="851" w:footer="113" w:gutter="0"/>
      <w:pgNumType w:start="4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692A34EE"/>
    <w:rsid w:val="00003D48"/>
    <w:rsid w:val="00007EE9"/>
    <w:rsid w:val="00040533"/>
    <w:rsid w:val="00166BF4"/>
    <w:rsid w:val="0018036E"/>
    <w:rsid w:val="001873DD"/>
    <w:rsid w:val="001E2D9C"/>
    <w:rsid w:val="00212492"/>
    <w:rsid w:val="00217D46"/>
    <w:rsid w:val="002370AE"/>
    <w:rsid w:val="00270DCA"/>
    <w:rsid w:val="002B10E8"/>
    <w:rsid w:val="002E1C30"/>
    <w:rsid w:val="00334625"/>
    <w:rsid w:val="0033661D"/>
    <w:rsid w:val="0034618B"/>
    <w:rsid w:val="00462E86"/>
    <w:rsid w:val="004A1F9C"/>
    <w:rsid w:val="004B1064"/>
    <w:rsid w:val="004E4EC4"/>
    <w:rsid w:val="004E76FB"/>
    <w:rsid w:val="00511175"/>
    <w:rsid w:val="00522C70"/>
    <w:rsid w:val="005264F9"/>
    <w:rsid w:val="00557553"/>
    <w:rsid w:val="005905DE"/>
    <w:rsid w:val="005A2837"/>
    <w:rsid w:val="005B65DC"/>
    <w:rsid w:val="00613AD0"/>
    <w:rsid w:val="00681A94"/>
    <w:rsid w:val="006B5EC7"/>
    <w:rsid w:val="006C51A7"/>
    <w:rsid w:val="006F4AD7"/>
    <w:rsid w:val="007257EE"/>
    <w:rsid w:val="00776C2E"/>
    <w:rsid w:val="00792246"/>
    <w:rsid w:val="007D66FB"/>
    <w:rsid w:val="00802EBC"/>
    <w:rsid w:val="00807E5C"/>
    <w:rsid w:val="008644BD"/>
    <w:rsid w:val="00883310"/>
    <w:rsid w:val="008D3361"/>
    <w:rsid w:val="008F3630"/>
    <w:rsid w:val="008F569E"/>
    <w:rsid w:val="00925994"/>
    <w:rsid w:val="0094604F"/>
    <w:rsid w:val="00983E36"/>
    <w:rsid w:val="009A33BF"/>
    <w:rsid w:val="009F03A1"/>
    <w:rsid w:val="00A13860"/>
    <w:rsid w:val="00A27D50"/>
    <w:rsid w:val="00A3036D"/>
    <w:rsid w:val="00A75CD5"/>
    <w:rsid w:val="00A96D8C"/>
    <w:rsid w:val="00AA5830"/>
    <w:rsid w:val="00B65B87"/>
    <w:rsid w:val="00BD5A20"/>
    <w:rsid w:val="00C15340"/>
    <w:rsid w:val="00C2736D"/>
    <w:rsid w:val="00C66925"/>
    <w:rsid w:val="00C82C19"/>
    <w:rsid w:val="00C90D41"/>
    <w:rsid w:val="00CB7014"/>
    <w:rsid w:val="00D45444"/>
    <w:rsid w:val="00E406C4"/>
    <w:rsid w:val="00E818A6"/>
    <w:rsid w:val="00E92BA6"/>
    <w:rsid w:val="00E944BD"/>
    <w:rsid w:val="00F0241F"/>
    <w:rsid w:val="00F454C2"/>
    <w:rsid w:val="00FA0649"/>
    <w:rsid w:val="00FB64F7"/>
    <w:rsid w:val="00FD2F06"/>
    <w:rsid w:val="00FE7C3E"/>
    <w:rsid w:val="069E189C"/>
    <w:rsid w:val="08E75A6A"/>
    <w:rsid w:val="2DC84567"/>
    <w:rsid w:val="312A5354"/>
    <w:rsid w:val="34E70EF2"/>
    <w:rsid w:val="4D2B308B"/>
    <w:rsid w:val="4D882F5E"/>
    <w:rsid w:val="4F543B16"/>
    <w:rsid w:val="55C8483C"/>
    <w:rsid w:val="58C96FDF"/>
    <w:rsid w:val="5AEB07B4"/>
    <w:rsid w:val="5DDD26D0"/>
    <w:rsid w:val="60AB11AE"/>
    <w:rsid w:val="692A34EE"/>
    <w:rsid w:val="6C4123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LFKJ</Company>
  <Pages>1</Pages>
  <Words>1157</Words>
  <Characters>1183</Characters>
  <Lines>9</Lines>
  <Paragraphs>2</Paragraphs>
  <TotalTime>0</TotalTime>
  <ScaleCrop>false</ScaleCrop>
  <LinksUpToDate>false</LinksUpToDate>
  <CharactersWithSpaces>1273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2019-12-06T08:36:00Z</dcterms:created>
  <dc:creator>Administrator</dc:creator>
  <cp:lastModifiedBy>果果</cp:lastModifiedBy>
  <cp:lastPrinted>2023-06-19T09:35:00Z</cp:lastPrinted>
  <dcterms:modified xsi:type="dcterms:W3CDTF">2026-01-27T00:53:08Z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9A11D30AB0B44B759EB3F1CF22A8BDD3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