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C5C198">
      <w:pPr>
        <w:autoSpaceDE w:val="0"/>
        <w:autoSpaceDN w:val="0"/>
        <w:adjustRightInd w:val="0"/>
        <w:snapToGrid w:val="0"/>
        <w:spacing w:line="320" w:lineRule="exact"/>
        <w:jc w:val="center"/>
        <w:rPr>
          <w:rFonts w:hint="eastAsia" w:ascii="宋体" w:hAnsi="宋体"/>
          <w:b/>
          <w:bCs/>
          <w:color w:val="auto"/>
          <w:sz w:val="28"/>
          <w:szCs w:val="28"/>
        </w:rPr>
      </w:pPr>
      <w:bookmarkStart w:id="1" w:name="_GoBack"/>
      <w:bookmarkStart w:id="0" w:name="_Hlk218695752"/>
      <w:r>
        <w:rPr>
          <w:rFonts w:hint="eastAsia" w:ascii="宋体" w:hAnsi="宋体"/>
          <w:b/>
          <w:bCs/>
          <w:color w:val="auto"/>
          <w:sz w:val="28"/>
          <w:szCs w:val="28"/>
        </w:rPr>
        <w:t>南宁市建设工程安全文明标准化</w:t>
      </w:r>
      <w:r>
        <w:rPr>
          <w:rFonts w:hint="eastAsia" w:asciiTheme="minorEastAsia" w:hAnsiTheme="minorEastAsia" w:eastAsiaTheme="minorEastAsia" w:cstheme="minorEastAsia"/>
          <w:b/>
          <w:bCs/>
          <w:snapToGrid w:val="0"/>
          <w:color w:val="auto"/>
          <w:kern w:val="0"/>
          <w:sz w:val="28"/>
          <w:szCs w:val="28"/>
        </w:rPr>
        <w:t>工地学习交流活动</w:t>
      </w:r>
      <w:r>
        <w:rPr>
          <w:rFonts w:hint="eastAsia" w:ascii="宋体" w:hAnsi="宋体"/>
          <w:b/>
          <w:bCs/>
          <w:color w:val="auto"/>
          <w:sz w:val="28"/>
          <w:szCs w:val="28"/>
        </w:rPr>
        <w:t>评分汇总表</w:t>
      </w:r>
    </w:p>
    <w:bookmarkEnd w:id="0"/>
    <w:p w14:paraId="3FAAA4FC">
      <w:pPr>
        <w:spacing w:line="400" w:lineRule="exact"/>
        <w:jc w:val="center"/>
        <w:rPr>
          <w:rFonts w:hint="eastAsia" w:ascii="仿宋" w:hAnsi="仿宋" w:eastAsia="仿宋"/>
          <w:b/>
          <w:bCs/>
          <w:snapToGrid w:val="0"/>
          <w:color w:val="auto"/>
          <w:kern w:val="0"/>
          <w:sz w:val="24"/>
        </w:rPr>
      </w:pPr>
      <w:r>
        <w:rPr>
          <w:rFonts w:hint="eastAsia" w:ascii="仿宋" w:hAnsi="仿宋" w:eastAsia="仿宋" w:cs="仿宋"/>
          <w:b/>
          <w:bCs/>
          <w:snapToGrid w:val="0"/>
          <w:color w:val="auto"/>
          <w:kern w:val="0"/>
          <w:sz w:val="24"/>
        </w:rPr>
        <w:t>市政工程部分（机电设备）</w:t>
      </w:r>
    </w:p>
    <w:bookmarkEnd w:id="1"/>
    <w:p w14:paraId="6A9FD5F3">
      <w:pPr>
        <w:jc w:val="center"/>
        <w:rPr>
          <w:rFonts w:hint="eastAsia" w:ascii="宋体" w:hAnsi="宋体"/>
          <w:color w:val="000000"/>
          <w:szCs w:val="21"/>
        </w:rPr>
      </w:pPr>
      <w:r>
        <w:rPr>
          <w:rFonts w:hint="eastAsia" w:ascii="宋体" w:hAnsi="宋体"/>
          <w:color w:val="000000"/>
          <w:szCs w:val="21"/>
        </w:rPr>
        <w:t xml:space="preserve">  </w:t>
      </w:r>
    </w:p>
    <w:p w14:paraId="752BDA75">
      <w:pPr>
        <w:ind w:firstLine="210" w:firstLineChars="100"/>
        <w:jc w:val="left"/>
        <w:rPr>
          <w:szCs w:val="21"/>
        </w:rPr>
      </w:pPr>
      <w:r>
        <w:rPr>
          <w:rFonts w:hint="eastAsia" w:ascii="宋体" w:hAnsi="宋体"/>
          <w:color w:val="000000"/>
          <w:szCs w:val="21"/>
        </w:rPr>
        <w:t xml:space="preserve">工程名称:                                                                </w:t>
      </w:r>
      <w:r>
        <w:rPr>
          <w:rFonts w:hint="eastAsia"/>
          <w:szCs w:val="21"/>
        </w:rPr>
        <w:t>检查日期：　　　　　　表三</w:t>
      </w:r>
    </w:p>
    <w:tbl>
      <w:tblPr>
        <w:tblStyle w:val="4"/>
        <w:tblpPr w:leftFromText="180" w:rightFromText="180" w:vertAnchor="text" w:tblpXSpec="center" w:tblpY="1"/>
        <w:tblOverlap w:val="never"/>
        <w:tblW w:w="104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28" w:type="dxa"/>
          <w:right w:w="57" w:type="dxa"/>
        </w:tblCellMar>
      </w:tblPr>
      <w:tblGrid>
        <w:gridCol w:w="908"/>
        <w:gridCol w:w="992"/>
        <w:gridCol w:w="1338"/>
        <w:gridCol w:w="2037"/>
        <w:gridCol w:w="1023"/>
        <w:gridCol w:w="2831"/>
        <w:gridCol w:w="709"/>
        <w:gridCol w:w="567"/>
      </w:tblGrid>
      <w:tr w14:paraId="0B64E2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28" w:type="dxa"/>
            <w:right w:w="57" w:type="dxa"/>
          </w:tblCellMar>
        </w:tblPrEx>
        <w:trPr>
          <w:cantSplit/>
          <w:trHeight w:val="496" w:hRule="atLeast"/>
          <w:jc w:val="center"/>
        </w:trPr>
        <w:tc>
          <w:tcPr>
            <w:tcW w:w="1900" w:type="dxa"/>
            <w:gridSpan w:val="2"/>
            <w:noWrap/>
            <w:vAlign w:val="center"/>
          </w:tcPr>
          <w:p w14:paraId="093A1302">
            <w:pPr>
              <w:spacing w:line="280" w:lineRule="exact"/>
              <w:jc w:val="center"/>
              <w:rPr>
                <w:rFonts w:hint="eastAsia" w:ascii="宋体" w:hAnsi="宋体"/>
                <w:color w:val="000000"/>
                <w:szCs w:val="21"/>
              </w:rPr>
            </w:pPr>
            <w:r>
              <w:rPr>
                <w:rFonts w:hint="eastAsia" w:ascii="宋体" w:hAnsi="宋体"/>
                <w:color w:val="000000"/>
                <w:szCs w:val="21"/>
              </w:rPr>
              <w:t>施工单位</w:t>
            </w:r>
          </w:p>
        </w:tc>
        <w:tc>
          <w:tcPr>
            <w:tcW w:w="3375" w:type="dxa"/>
            <w:gridSpan w:val="2"/>
            <w:noWrap/>
            <w:vAlign w:val="center"/>
          </w:tcPr>
          <w:p w14:paraId="36B512C9">
            <w:pPr>
              <w:spacing w:line="280" w:lineRule="exact"/>
              <w:rPr>
                <w:rFonts w:hint="eastAsia" w:ascii="宋体" w:hAnsi="宋体"/>
                <w:color w:val="000000"/>
                <w:szCs w:val="21"/>
              </w:rPr>
            </w:pPr>
          </w:p>
        </w:tc>
        <w:tc>
          <w:tcPr>
            <w:tcW w:w="1023" w:type="dxa"/>
            <w:noWrap/>
            <w:vAlign w:val="center"/>
          </w:tcPr>
          <w:p w14:paraId="560AB8FE">
            <w:pPr>
              <w:spacing w:line="280" w:lineRule="exact"/>
              <w:jc w:val="center"/>
              <w:rPr>
                <w:rFonts w:hint="eastAsia" w:ascii="宋体" w:hAnsi="宋体"/>
                <w:color w:val="000000"/>
                <w:szCs w:val="21"/>
              </w:rPr>
            </w:pPr>
            <w:r>
              <w:rPr>
                <w:rFonts w:hint="eastAsia" w:ascii="宋体" w:hAnsi="宋体"/>
                <w:color w:val="000000"/>
                <w:szCs w:val="21"/>
              </w:rPr>
              <w:t>监理单位</w:t>
            </w:r>
          </w:p>
        </w:tc>
        <w:tc>
          <w:tcPr>
            <w:tcW w:w="4107" w:type="dxa"/>
            <w:gridSpan w:val="3"/>
            <w:noWrap/>
            <w:vAlign w:val="center"/>
          </w:tcPr>
          <w:p w14:paraId="236837AE">
            <w:pPr>
              <w:spacing w:line="280" w:lineRule="exact"/>
              <w:jc w:val="center"/>
              <w:rPr>
                <w:rFonts w:hint="eastAsia" w:ascii="宋体" w:hAnsi="宋体"/>
                <w:color w:val="000000"/>
                <w:szCs w:val="21"/>
              </w:rPr>
            </w:pPr>
          </w:p>
        </w:tc>
      </w:tr>
      <w:tr w14:paraId="04BF34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28" w:type="dxa"/>
            <w:right w:w="57" w:type="dxa"/>
          </w:tblCellMar>
        </w:tblPrEx>
        <w:trPr>
          <w:cantSplit/>
          <w:trHeight w:val="478" w:hRule="atLeast"/>
          <w:jc w:val="center"/>
        </w:trPr>
        <w:tc>
          <w:tcPr>
            <w:tcW w:w="1900" w:type="dxa"/>
            <w:gridSpan w:val="2"/>
            <w:noWrap/>
            <w:vAlign w:val="center"/>
          </w:tcPr>
          <w:p w14:paraId="61DFD129">
            <w:pPr>
              <w:spacing w:line="280" w:lineRule="exact"/>
              <w:jc w:val="center"/>
              <w:rPr>
                <w:rFonts w:hint="eastAsia" w:ascii="宋体" w:hAnsi="宋体"/>
                <w:color w:val="000000"/>
                <w:szCs w:val="21"/>
              </w:rPr>
            </w:pPr>
            <w:r>
              <w:rPr>
                <w:rFonts w:hint="eastAsia" w:ascii="宋体" w:hAnsi="宋体"/>
                <w:color w:val="000000"/>
                <w:szCs w:val="21"/>
              </w:rPr>
              <w:t>结构类型</w:t>
            </w:r>
          </w:p>
        </w:tc>
        <w:tc>
          <w:tcPr>
            <w:tcW w:w="1338" w:type="dxa"/>
            <w:noWrap/>
            <w:vAlign w:val="center"/>
          </w:tcPr>
          <w:p w14:paraId="7DCA0457">
            <w:pPr>
              <w:spacing w:line="280" w:lineRule="exact"/>
              <w:jc w:val="center"/>
              <w:rPr>
                <w:rFonts w:hint="eastAsia" w:ascii="宋体" w:hAnsi="宋体"/>
                <w:color w:val="000000"/>
                <w:szCs w:val="21"/>
              </w:rPr>
            </w:pPr>
          </w:p>
        </w:tc>
        <w:tc>
          <w:tcPr>
            <w:tcW w:w="2037" w:type="dxa"/>
            <w:noWrap/>
            <w:vAlign w:val="center"/>
          </w:tcPr>
          <w:p w14:paraId="026A7AFD">
            <w:pPr>
              <w:spacing w:line="280" w:lineRule="exact"/>
              <w:jc w:val="center"/>
              <w:rPr>
                <w:rFonts w:hint="eastAsia" w:ascii="宋体" w:hAnsi="宋体"/>
                <w:color w:val="000000"/>
                <w:szCs w:val="21"/>
              </w:rPr>
            </w:pPr>
            <w:r>
              <w:rPr>
                <w:rFonts w:hint="eastAsia" w:ascii="宋体" w:hAnsi="宋体"/>
                <w:color w:val="000000"/>
                <w:szCs w:val="21"/>
              </w:rPr>
              <w:t>结构层数</w:t>
            </w:r>
          </w:p>
        </w:tc>
        <w:tc>
          <w:tcPr>
            <w:tcW w:w="1023" w:type="dxa"/>
            <w:noWrap/>
            <w:vAlign w:val="center"/>
          </w:tcPr>
          <w:p w14:paraId="08A2825D">
            <w:pPr>
              <w:spacing w:line="280" w:lineRule="exact"/>
              <w:jc w:val="center"/>
              <w:rPr>
                <w:rFonts w:hint="eastAsia" w:ascii="宋体" w:hAnsi="宋体"/>
                <w:color w:val="000000"/>
                <w:szCs w:val="21"/>
              </w:rPr>
            </w:pPr>
          </w:p>
        </w:tc>
        <w:tc>
          <w:tcPr>
            <w:tcW w:w="2831" w:type="dxa"/>
            <w:noWrap/>
            <w:vAlign w:val="center"/>
          </w:tcPr>
          <w:p w14:paraId="58972D49">
            <w:pPr>
              <w:spacing w:line="280" w:lineRule="exact"/>
              <w:jc w:val="center"/>
              <w:rPr>
                <w:rFonts w:hint="eastAsia" w:ascii="宋体" w:hAnsi="宋体"/>
                <w:color w:val="000000"/>
                <w:szCs w:val="21"/>
              </w:rPr>
            </w:pPr>
            <w:r>
              <w:rPr>
                <w:rFonts w:hint="eastAsia" w:ascii="宋体" w:hAnsi="宋体"/>
                <w:color w:val="000000"/>
                <w:szCs w:val="21"/>
              </w:rPr>
              <w:t>建筑面积</w:t>
            </w:r>
          </w:p>
        </w:tc>
        <w:tc>
          <w:tcPr>
            <w:tcW w:w="1276" w:type="dxa"/>
            <w:gridSpan w:val="2"/>
            <w:noWrap/>
            <w:vAlign w:val="center"/>
          </w:tcPr>
          <w:p w14:paraId="0193C689">
            <w:pPr>
              <w:spacing w:line="280" w:lineRule="exact"/>
              <w:jc w:val="center"/>
              <w:rPr>
                <w:rFonts w:hint="eastAsia" w:ascii="宋体" w:hAnsi="宋体"/>
                <w:color w:val="000000"/>
                <w:szCs w:val="21"/>
              </w:rPr>
            </w:pPr>
          </w:p>
        </w:tc>
      </w:tr>
      <w:tr w14:paraId="077123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28" w:type="dxa"/>
            <w:right w:w="57" w:type="dxa"/>
          </w:tblCellMar>
        </w:tblPrEx>
        <w:trPr>
          <w:cantSplit/>
          <w:trHeight w:val="514" w:hRule="atLeast"/>
          <w:jc w:val="center"/>
        </w:trPr>
        <w:tc>
          <w:tcPr>
            <w:tcW w:w="1900" w:type="dxa"/>
            <w:gridSpan w:val="2"/>
            <w:noWrap/>
            <w:vAlign w:val="center"/>
          </w:tcPr>
          <w:p w14:paraId="053A1264">
            <w:pPr>
              <w:spacing w:line="280" w:lineRule="exact"/>
              <w:jc w:val="center"/>
              <w:rPr>
                <w:rFonts w:hint="eastAsia" w:ascii="宋体" w:hAnsi="宋体"/>
                <w:color w:val="000000"/>
                <w:szCs w:val="21"/>
              </w:rPr>
            </w:pPr>
            <w:r>
              <w:rPr>
                <w:rFonts w:hint="eastAsia" w:ascii="宋体" w:hAnsi="宋体"/>
                <w:color w:val="000000"/>
                <w:szCs w:val="21"/>
              </w:rPr>
              <w:t>检查项目</w:t>
            </w:r>
          </w:p>
        </w:tc>
        <w:tc>
          <w:tcPr>
            <w:tcW w:w="7229" w:type="dxa"/>
            <w:gridSpan w:val="4"/>
            <w:noWrap/>
            <w:vAlign w:val="center"/>
          </w:tcPr>
          <w:p w14:paraId="171564FF">
            <w:pPr>
              <w:spacing w:line="280" w:lineRule="exact"/>
              <w:jc w:val="center"/>
              <w:rPr>
                <w:rFonts w:hint="eastAsia" w:ascii="宋体" w:hAnsi="宋体"/>
                <w:color w:val="000000"/>
                <w:szCs w:val="21"/>
              </w:rPr>
            </w:pPr>
            <w:r>
              <w:rPr>
                <w:rFonts w:hint="eastAsia" w:ascii="宋体" w:hAnsi="宋体"/>
                <w:color w:val="000000"/>
                <w:szCs w:val="21"/>
              </w:rPr>
              <w:t>检查要求</w:t>
            </w:r>
          </w:p>
        </w:tc>
        <w:tc>
          <w:tcPr>
            <w:tcW w:w="709" w:type="dxa"/>
            <w:noWrap/>
            <w:vAlign w:val="center"/>
          </w:tcPr>
          <w:p w14:paraId="1BE8AE2E">
            <w:pPr>
              <w:spacing w:line="280" w:lineRule="exact"/>
              <w:jc w:val="center"/>
              <w:rPr>
                <w:rFonts w:hint="eastAsia" w:ascii="宋体" w:hAnsi="宋体"/>
                <w:color w:val="000000"/>
                <w:szCs w:val="21"/>
              </w:rPr>
            </w:pPr>
            <w:r>
              <w:rPr>
                <w:rFonts w:hint="eastAsia"/>
                <w:szCs w:val="21"/>
              </w:rPr>
              <w:t>扣分</w:t>
            </w:r>
          </w:p>
        </w:tc>
        <w:tc>
          <w:tcPr>
            <w:tcW w:w="567" w:type="dxa"/>
            <w:noWrap/>
            <w:vAlign w:val="center"/>
          </w:tcPr>
          <w:p w14:paraId="370C4C4B">
            <w:pPr>
              <w:spacing w:line="280" w:lineRule="exact"/>
              <w:jc w:val="center"/>
              <w:rPr>
                <w:rFonts w:hint="eastAsia" w:ascii="宋体" w:hAnsi="宋体"/>
                <w:color w:val="000000"/>
                <w:szCs w:val="21"/>
              </w:rPr>
            </w:pPr>
            <w:r>
              <w:rPr>
                <w:rFonts w:hint="eastAsia"/>
                <w:szCs w:val="21"/>
              </w:rPr>
              <w:t>得分</w:t>
            </w:r>
          </w:p>
        </w:tc>
      </w:tr>
      <w:tr w14:paraId="642A9D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28" w:type="dxa"/>
            <w:right w:w="57" w:type="dxa"/>
          </w:tblCellMar>
        </w:tblPrEx>
        <w:trPr>
          <w:cantSplit/>
          <w:trHeight w:val="1507" w:hRule="atLeast"/>
          <w:jc w:val="center"/>
        </w:trPr>
        <w:tc>
          <w:tcPr>
            <w:tcW w:w="908" w:type="dxa"/>
            <w:vMerge w:val="restart"/>
            <w:noWrap/>
            <w:textDirection w:val="tbRlV"/>
            <w:vAlign w:val="center"/>
          </w:tcPr>
          <w:p w14:paraId="2220EC53">
            <w:pPr>
              <w:spacing w:line="280" w:lineRule="exact"/>
              <w:ind w:left="113" w:right="113"/>
              <w:jc w:val="center"/>
              <w:rPr>
                <w:rFonts w:hint="eastAsia" w:ascii="宋体" w:hAnsi="宋体"/>
                <w:color w:val="000000"/>
                <w:szCs w:val="21"/>
              </w:rPr>
            </w:pPr>
            <w:r>
              <w:rPr>
                <w:rFonts w:hint="eastAsia" w:ascii="宋体" w:hAnsi="宋体"/>
                <w:color w:val="000000"/>
                <w:szCs w:val="21"/>
              </w:rPr>
              <w:t>机  电  设  备 （2</w:t>
            </w:r>
            <w:r>
              <w:rPr>
                <w:rFonts w:ascii="宋体" w:hAnsi="宋体"/>
                <w:color w:val="000000"/>
                <w:szCs w:val="21"/>
              </w:rPr>
              <w:t>5</w:t>
            </w:r>
            <w:r>
              <w:rPr>
                <w:rFonts w:hint="eastAsia" w:ascii="宋体" w:hAnsi="宋体"/>
                <w:color w:val="000000"/>
                <w:szCs w:val="21"/>
              </w:rPr>
              <w:t>分）</w:t>
            </w:r>
          </w:p>
        </w:tc>
        <w:tc>
          <w:tcPr>
            <w:tcW w:w="992" w:type="dxa"/>
            <w:noWrap/>
            <w:vAlign w:val="center"/>
          </w:tcPr>
          <w:p w14:paraId="3DE16F48">
            <w:pPr>
              <w:spacing w:line="280" w:lineRule="exact"/>
              <w:jc w:val="center"/>
              <w:rPr>
                <w:rFonts w:hint="eastAsia" w:ascii="宋体" w:hAnsi="宋体"/>
                <w:b/>
                <w:bCs/>
                <w:color w:val="000000"/>
                <w:szCs w:val="21"/>
              </w:rPr>
            </w:pPr>
            <w:r>
              <w:rPr>
                <w:rFonts w:hint="eastAsia" w:ascii="宋体" w:hAnsi="宋体"/>
                <w:b/>
                <w:bCs/>
                <w:color w:val="000000"/>
                <w:szCs w:val="21"/>
              </w:rPr>
              <w:t>保证项目</w:t>
            </w:r>
          </w:p>
        </w:tc>
        <w:tc>
          <w:tcPr>
            <w:tcW w:w="7229" w:type="dxa"/>
            <w:gridSpan w:val="4"/>
            <w:noWrap/>
            <w:vAlign w:val="center"/>
          </w:tcPr>
          <w:p w14:paraId="7CF1C02C">
            <w:pPr>
              <w:spacing w:line="280" w:lineRule="exact"/>
              <w:jc w:val="left"/>
              <w:rPr>
                <w:rFonts w:hint="eastAsia" w:ascii="宋体" w:hAnsi="宋体"/>
                <w:b/>
                <w:bCs/>
                <w:color w:val="000000"/>
                <w:szCs w:val="21"/>
              </w:rPr>
            </w:pPr>
            <w:r>
              <w:rPr>
                <w:rFonts w:hint="eastAsia" w:ascii="宋体" w:hAnsi="宋体"/>
                <w:b/>
                <w:bCs/>
                <w:color w:val="000000"/>
                <w:szCs w:val="21"/>
              </w:rPr>
              <w:t>临时用电</w:t>
            </w:r>
            <w:r>
              <w:rPr>
                <w:rFonts w:hint="eastAsia" w:ascii="宋体" w:hAnsi="宋体" w:cs="宋体"/>
                <w:b/>
                <w:bCs/>
                <w:szCs w:val="21"/>
              </w:rPr>
              <w:t>未按规定编制临时用电施工组织设计的；未采用TN-S接零保护系统的；未采用三级配电、两级漏电保护系统的；在建建筑物、设备、用房与外电最小安全距离不符或无效防护的；使用倒顺开关作为施工机具的控制开关的；建筑起重机械无制造许可证、产品合格证、产权备案证，未完善使用登记备案手续的；安装、拆卸、操作等特种作业人</w:t>
            </w:r>
            <w:r>
              <w:rPr>
                <w:rFonts w:hint="eastAsia" w:ascii="Calibri" w:hAnsi="Calibri"/>
                <w:b/>
                <w:bCs/>
              </w:rPr>
              <w:t>员</w:t>
            </w:r>
            <w:r>
              <w:rPr>
                <w:rFonts w:hint="eastAsia" w:ascii="宋体" w:hAnsi="宋体" w:cs="宋体"/>
                <w:b/>
                <w:bCs/>
                <w:szCs w:val="21"/>
              </w:rPr>
              <w:t>无证上岗的。</w:t>
            </w:r>
          </w:p>
        </w:tc>
        <w:tc>
          <w:tcPr>
            <w:tcW w:w="709" w:type="dxa"/>
            <w:noWrap/>
            <w:vAlign w:val="center"/>
          </w:tcPr>
          <w:p w14:paraId="7AF0BF9F">
            <w:pPr>
              <w:spacing w:line="280" w:lineRule="exact"/>
              <w:jc w:val="center"/>
              <w:rPr>
                <w:rFonts w:hint="eastAsia" w:ascii="宋体" w:hAnsi="宋体"/>
                <w:color w:val="000000"/>
                <w:szCs w:val="21"/>
              </w:rPr>
            </w:pPr>
          </w:p>
        </w:tc>
        <w:tc>
          <w:tcPr>
            <w:tcW w:w="567" w:type="dxa"/>
            <w:vMerge w:val="restart"/>
            <w:noWrap/>
            <w:vAlign w:val="center"/>
          </w:tcPr>
          <w:p w14:paraId="67A84024">
            <w:pPr>
              <w:spacing w:line="280" w:lineRule="exact"/>
              <w:jc w:val="center"/>
              <w:rPr>
                <w:rFonts w:hint="eastAsia" w:ascii="宋体" w:hAnsi="宋体"/>
                <w:color w:val="000000"/>
                <w:szCs w:val="21"/>
              </w:rPr>
            </w:pPr>
          </w:p>
        </w:tc>
      </w:tr>
      <w:tr w14:paraId="58971C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28" w:type="dxa"/>
            <w:right w:w="57" w:type="dxa"/>
          </w:tblCellMar>
        </w:tblPrEx>
        <w:trPr>
          <w:cantSplit/>
          <w:trHeight w:val="1803" w:hRule="atLeast"/>
          <w:jc w:val="center"/>
        </w:trPr>
        <w:tc>
          <w:tcPr>
            <w:tcW w:w="908" w:type="dxa"/>
            <w:vMerge w:val="continue"/>
            <w:noWrap/>
            <w:textDirection w:val="tbRlV"/>
            <w:vAlign w:val="center"/>
          </w:tcPr>
          <w:p w14:paraId="1C9B5E91">
            <w:pPr>
              <w:spacing w:line="280" w:lineRule="exact"/>
              <w:ind w:left="113" w:right="113"/>
              <w:jc w:val="center"/>
              <w:rPr>
                <w:rFonts w:hint="eastAsia" w:ascii="宋体" w:hAnsi="宋体"/>
                <w:color w:val="000000"/>
                <w:szCs w:val="21"/>
              </w:rPr>
            </w:pPr>
          </w:p>
        </w:tc>
        <w:tc>
          <w:tcPr>
            <w:tcW w:w="992" w:type="dxa"/>
            <w:noWrap/>
            <w:vAlign w:val="center"/>
          </w:tcPr>
          <w:p w14:paraId="1E6AA715">
            <w:pPr>
              <w:spacing w:line="280" w:lineRule="exact"/>
              <w:jc w:val="center"/>
              <w:rPr>
                <w:rFonts w:hint="eastAsia" w:ascii="宋体" w:hAnsi="宋体"/>
                <w:color w:val="000000"/>
                <w:szCs w:val="21"/>
              </w:rPr>
            </w:pPr>
            <w:r>
              <w:rPr>
                <w:rFonts w:hint="eastAsia" w:ascii="宋体" w:hAnsi="宋体"/>
                <w:color w:val="000000"/>
                <w:szCs w:val="21"/>
              </w:rPr>
              <w:t>资料管理（</w:t>
            </w:r>
            <w:r>
              <w:rPr>
                <w:rFonts w:ascii="宋体" w:hAnsi="宋体"/>
                <w:color w:val="000000"/>
                <w:szCs w:val="21"/>
              </w:rPr>
              <w:t>4</w:t>
            </w:r>
            <w:r>
              <w:rPr>
                <w:rFonts w:hint="eastAsia" w:ascii="宋体" w:hAnsi="宋体"/>
                <w:color w:val="000000"/>
                <w:szCs w:val="21"/>
              </w:rPr>
              <w:t>分）</w:t>
            </w:r>
          </w:p>
        </w:tc>
        <w:tc>
          <w:tcPr>
            <w:tcW w:w="7229" w:type="dxa"/>
            <w:gridSpan w:val="4"/>
            <w:noWrap/>
            <w:vAlign w:val="center"/>
          </w:tcPr>
          <w:p w14:paraId="67F9248D">
            <w:pPr>
              <w:spacing w:line="280" w:lineRule="exact"/>
              <w:jc w:val="left"/>
              <w:rPr>
                <w:rFonts w:hint="eastAsia" w:ascii="宋体" w:hAnsi="宋体"/>
                <w:b/>
                <w:color w:val="000000"/>
                <w:szCs w:val="21"/>
              </w:rPr>
            </w:pPr>
            <w:r>
              <w:rPr>
                <w:rFonts w:hint="eastAsia" w:ascii="宋体" w:hAnsi="宋体"/>
                <w:color w:val="000000"/>
                <w:szCs w:val="21"/>
              </w:rPr>
              <w:t>临时用电施工组织设计未经施工单位技术负责人签字审批，或未盖施工单位公章，或未经总监签字批准的；临时用电日常安全检查、整改记录、验收记录缺失的；接地电阻、绝缘电阻测试记录缺失的；无施工升降机、塔吊加高附墙验收记录及无检查、维护保养记录的;施工升降机、塔吊每日开工前司机未按要求对设备进行检查及司机交接班无交接班记录的。   每项扣</w:t>
            </w:r>
            <w:r>
              <w:rPr>
                <w:rFonts w:ascii="宋体" w:hAnsi="宋体"/>
                <w:color w:val="000000"/>
                <w:szCs w:val="21"/>
              </w:rPr>
              <w:t>1</w:t>
            </w:r>
            <w:r>
              <w:rPr>
                <w:rFonts w:hint="eastAsia"/>
                <w:szCs w:val="21"/>
              </w:rPr>
              <w:t>~</w:t>
            </w:r>
            <w:r>
              <w:rPr>
                <w:szCs w:val="21"/>
              </w:rPr>
              <w:t>3</w:t>
            </w:r>
            <w:r>
              <w:rPr>
                <w:rFonts w:hint="eastAsia"/>
                <w:szCs w:val="21"/>
              </w:rPr>
              <w:t>分</w:t>
            </w:r>
          </w:p>
        </w:tc>
        <w:tc>
          <w:tcPr>
            <w:tcW w:w="709" w:type="dxa"/>
            <w:noWrap/>
            <w:vAlign w:val="center"/>
          </w:tcPr>
          <w:p w14:paraId="32F01A81">
            <w:pPr>
              <w:spacing w:line="280" w:lineRule="exact"/>
              <w:jc w:val="center"/>
              <w:rPr>
                <w:rFonts w:hint="eastAsia" w:ascii="宋体" w:hAnsi="宋体"/>
                <w:color w:val="000000"/>
                <w:szCs w:val="21"/>
              </w:rPr>
            </w:pPr>
          </w:p>
        </w:tc>
        <w:tc>
          <w:tcPr>
            <w:tcW w:w="567" w:type="dxa"/>
            <w:vMerge w:val="continue"/>
            <w:noWrap/>
            <w:vAlign w:val="center"/>
          </w:tcPr>
          <w:p w14:paraId="480938EC">
            <w:pPr>
              <w:spacing w:line="280" w:lineRule="exact"/>
              <w:jc w:val="center"/>
              <w:rPr>
                <w:rFonts w:hint="eastAsia" w:ascii="宋体" w:hAnsi="宋体"/>
                <w:color w:val="000000"/>
                <w:szCs w:val="21"/>
              </w:rPr>
            </w:pPr>
          </w:p>
        </w:tc>
      </w:tr>
      <w:tr w14:paraId="6D50D2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28" w:type="dxa"/>
            <w:right w:w="57" w:type="dxa"/>
          </w:tblCellMar>
        </w:tblPrEx>
        <w:trPr>
          <w:cantSplit/>
          <w:trHeight w:val="1673" w:hRule="atLeast"/>
          <w:jc w:val="center"/>
        </w:trPr>
        <w:tc>
          <w:tcPr>
            <w:tcW w:w="908" w:type="dxa"/>
            <w:vMerge w:val="continue"/>
            <w:noWrap/>
            <w:textDirection w:val="tbRlV"/>
            <w:vAlign w:val="center"/>
          </w:tcPr>
          <w:p w14:paraId="6800B419">
            <w:pPr>
              <w:spacing w:line="280" w:lineRule="exact"/>
              <w:ind w:left="113" w:right="113"/>
              <w:jc w:val="center"/>
              <w:rPr>
                <w:rFonts w:hint="eastAsia" w:ascii="宋体" w:hAnsi="宋体"/>
                <w:color w:val="000000"/>
                <w:szCs w:val="21"/>
              </w:rPr>
            </w:pPr>
          </w:p>
        </w:tc>
        <w:tc>
          <w:tcPr>
            <w:tcW w:w="992" w:type="dxa"/>
            <w:noWrap/>
            <w:vAlign w:val="center"/>
          </w:tcPr>
          <w:p w14:paraId="5B374FA9">
            <w:pPr>
              <w:spacing w:line="280" w:lineRule="exact"/>
              <w:jc w:val="center"/>
              <w:rPr>
                <w:rFonts w:hint="eastAsia" w:ascii="宋体" w:hAnsi="宋体"/>
                <w:color w:val="000000"/>
                <w:szCs w:val="21"/>
              </w:rPr>
            </w:pPr>
            <w:r>
              <w:rPr>
                <w:rFonts w:hint="eastAsia" w:ascii="宋体" w:hAnsi="宋体"/>
                <w:color w:val="000000"/>
                <w:szCs w:val="21"/>
              </w:rPr>
              <w:t>施工用电</w:t>
            </w:r>
          </w:p>
          <w:p w14:paraId="28E53DC4">
            <w:pPr>
              <w:spacing w:line="280" w:lineRule="exact"/>
              <w:jc w:val="center"/>
              <w:rPr>
                <w:rFonts w:hint="eastAsia" w:ascii="宋体" w:hAnsi="宋体"/>
                <w:color w:val="000000"/>
                <w:szCs w:val="21"/>
              </w:rPr>
            </w:pPr>
            <w:r>
              <w:rPr>
                <w:rFonts w:hint="eastAsia" w:ascii="宋体" w:hAnsi="宋体"/>
                <w:color w:val="000000"/>
                <w:szCs w:val="21"/>
              </w:rPr>
              <w:t>（</w:t>
            </w:r>
            <w:r>
              <w:rPr>
                <w:rFonts w:ascii="宋体" w:hAnsi="宋体"/>
                <w:color w:val="000000"/>
                <w:szCs w:val="21"/>
              </w:rPr>
              <w:t>8</w:t>
            </w:r>
            <w:r>
              <w:rPr>
                <w:rFonts w:hint="eastAsia" w:ascii="宋体" w:hAnsi="宋体"/>
                <w:color w:val="000000"/>
                <w:szCs w:val="21"/>
              </w:rPr>
              <w:t>分）</w:t>
            </w:r>
          </w:p>
        </w:tc>
        <w:tc>
          <w:tcPr>
            <w:tcW w:w="7229" w:type="dxa"/>
            <w:gridSpan w:val="4"/>
            <w:noWrap/>
            <w:vAlign w:val="center"/>
          </w:tcPr>
          <w:p w14:paraId="278EC889">
            <w:pPr>
              <w:spacing w:line="280" w:lineRule="exact"/>
              <w:jc w:val="left"/>
              <w:rPr>
                <w:rFonts w:hint="eastAsia" w:ascii="宋体" w:hAnsi="宋体"/>
                <w:color w:val="000000"/>
                <w:szCs w:val="21"/>
              </w:rPr>
            </w:pPr>
            <w:r>
              <w:rPr>
                <w:rFonts w:hint="eastAsia" w:ascii="宋体" w:hAnsi="宋体"/>
                <w:color w:val="000000"/>
                <w:szCs w:val="21"/>
              </w:rPr>
              <w:t>电箱未做到标准化、标识不清楚的；电箱配置不符合要求，漏电开关失灵，未设置消防专用配电线路的；开关箱不符合“一机一箱一闸一漏”要求的；</w:t>
            </w:r>
            <w:r>
              <w:rPr>
                <w:rFonts w:hint="eastAsia" w:ascii="宋体" w:hAnsi="宋体" w:cs="宋体"/>
                <w:szCs w:val="21"/>
              </w:rPr>
              <w:t>开关箱未安装漏电保护器或用电设备未做保护接零的；</w:t>
            </w:r>
            <w:r>
              <w:rPr>
                <w:rFonts w:hint="eastAsia" w:ascii="宋体" w:hAnsi="宋体"/>
                <w:color w:val="000000"/>
                <w:szCs w:val="21"/>
              </w:rPr>
              <w:t xml:space="preserve">工作零线与保护零线混接，电线电缆敷设不规范的。   </w:t>
            </w:r>
            <w:r>
              <w:rPr>
                <w:rFonts w:hint="eastAsia"/>
                <w:szCs w:val="21"/>
              </w:rPr>
              <w:t>每项扣3~</w:t>
            </w:r>
            <w:r>
              <w:rPr>
                <w:szCs w:val="21"/>
              </w:rPr>
              <w:t>6</w:t>
            </w:r>
            <w:r>
              <w:rPr>
                <w:rFonts w:hint="eastAsia"/>
                <w:szCs w:val="21"/>
              </w:rPr>
              <w:t>分</w:t>
            </w:r>
          </w:p>
        </w:tc>
        <w:tc>
          <w:tcPr>
            <w:tcW w:w="709" w:type="dxa"/>
            <w:noWrap/>
            <w:vAlign w:val="center"/>
          </w:tcPr>
          <w:p w14:paraId="62146466">
            <w:pPr>
              <w:spacing w:line="280" w:lineRule="exact"/>
              <w:jc w:val="center"/>
              <w:rPr>
                <w:rFonts w:hint="eastAsia" w:ascii="宋体" w:hAnsi="宋体"/>
                <w:color w:val="000000"/>
                <w:szCs w:val="21"/>
              </w:rPr>
            </w:pPr>
          </w:p>
        </w:tc>
        <w:tc>
          <w:tcPr>
            <w:tcW w:w="567" w:type="dxa"/>
            <w:vMerge w:val="continue"/>
            <w:noWrap/>
            <w:vAlign w:val="center"/>
          </w:tcPr>
          <w:p w14:paraId="799E9C00">
            <w:pPr>
              <w:spacing w:line="280" w:lineRule="exact"/>
              <w:jc w:val="center"/>
              <w:rPr>
                <w:rFonts w:hint="eastAsia" w:ascii="宋体" w:hAnsi="宋体"/>
                <w:color w:val="000000"/>
                <w:szCs w:val="21"/>
              </w:rPr>
            </w:pPr>
          </w:p>
        </w:tc>
      </w:tr>
      <w:tr w14:paraId="77312A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28" w:type="dxa"/>
            <w:right w:w="57" w:type="dxa"/>
          </w:tblCellMar>
        </w:tblPrEx>
        <w:trPr>
          <w:cantSplit/>
          <w:trHeight w:val="2080" w:hRule="atLeast"/>
          <w:jc w:val="center"/>
        </w:trPr>
        <w:tc>
          <w:tcPr>
            <w:tcW w:w="908" w:type="dxa"/>
            <w:vMerge w:val="continue"/>
            <w:noWrap/>
          </w:tcPr>
          <w:p w14:paraId="37F9A44A">
            <w:pPr>
              <w:spacing w:line="280" w:lineRule="exact"/>
              <w:jc w:val="center"/>
              <w:rPr>
                <w:rFonts w:hint="eastAsia" w:ascii="宋体" w:hAnsi="宋体"/>
                <w:color w:val="000000"/>
                <w:szCs w:val="21"/>
              </w:rPr>
            </w:pPr>
          </w:p>
        </w:tc>
        <w:tc>
          <w:tcPr>
            <w:tcW w:w="992" w:type="dxa"/>
            <w:noWrap/>
            <w:vAlign w:val="center"/>
          </w:tcPr>
          <w:p w14:paraId="4EE8C903">
            <w:pPr>
              <w:spacing w:line="280" w:lineRule="exact"/>
              <w:jc w:val="center"/>
              <w:rPr>
                <w:rFonts w:hint="eastAsia" w:ascii="宋体" w:hAnsi="宋体"/>
                <w:color w:val="000000"/>
                <w:szCs w:val="21"/>
              </w:rPr>
            </w:pPr>
            <w:r>
              <w:rPr>
                <w:rFonts w:hint="eastAsia" w:ascii="宋体" w:hAnsi="宋体"/>
                <w:color w:val="000000"/>
                <w:szCs w:val="21"/>
              </w:rPr>
              <w:t>起重机械</w:t>
            </w:r>
          </w:p>
          <w:p w14:paraId="7CB2C131">
            <w:pPr>
              <w:spacing w:line="280" w:lineRule="exact"/>
              <w:jc w:val="center"/>
              <w:rPr>
                <w:rFonts w:hint="eastAsia" w:ascii="宋体" w:hAnsi="宋体"/>
                <w:color w:val="000000"/>
                <w:szCs w:val="21"/>
              </w:rPr>
            </w:pPr>
            <w:r>
              <w:rPr>
                <w:rFonts w:hint="eastAsia" w:ascii="宋体" w:hAnsi="宋体"/>
                <w:color w:val="000000"/>
                <w:szCs w:val="21"/>
              </w:rPr>
              <w:t>（</w:t>
            </w:r>
            <w:r>
              <w:rPr>
                <w:rFonts w:ascii="宋体" w:hAnsi="宋体"/>
                <w:color w:val="000000"/>
                <w:szCs w:val="21"/>
              </w:rPr>
              <w:t>8</w:t>
            </w:r>
            <w:r>
              <w:rPr>
                <w:rFonts w:hint="eastAsia" w:ascii="宋体" w:hAnsi="宋体"/>
                <w:color w:val="000000"/>
                <w:szCs w:val="21"/>
              </w:rPr>
              <w:t>分）</w:t>
            </w:r>
          </w:p>
        </w:tc>
        <w:tc>
          <w:tcPr>
            <w:tcW w:w="7229" w:type="dxa"/>
            <w:gridSpan w:val="4"/>
            <w:noWrap/>
            <w:vAlign w:val="center"/>
          </w:tcPr>
          <w:p w14:paraId="459AB7B0">
            <w:pPr>
              <w:spacing w:line="280" w:lineRule="exact"/>
              <w:rPr>
                <w:rFonts w:hint="eastAsia" w:ascii="宋体" w:hAnsi="宋体" w:cs="宋体"/>
                <w:szCs w:val="21"/>
              </w:rPr>
            </w:pPr>
            <w:r>
              <w:rPr>
                <w:rFonts w:hint="eastAsia" w:ascii="宋体" w:hAnsi="宋体" w:cs="宋体"/>
                <w:szCs w:val="21"/>
              </w:rPr>
              <w:t>未设置使用公示牌，公示内容不清晰、不完整的；起重机械的基础未符合使用说明书及专项施工方案要求的；停层平台搭设不符合要求，平台门设置未做到标准化、常闭的；物料提升机</w:t>
            </w:r>
            <w:r>
              <w:rPr>
                <w:rFonts w:hint="eastAsia"/>
              </w:rPr>
              <w:t>吊篮安全门、停层平台及防护门、架体立面防护、</w:t>
            </w:r>
            <w:r>
              <w:rPr>
                <w:rFonts w:hint="eastAsia" w:ascii="宋体" w:hAnsi="宋体" w:cs="宋体"/>
                <w:szCs w:val="21"/>
              </w:rPr>
              <w:t>附墙装置或缆风绳、安全装置不符合要求，未采用一视频两联动的；十二层及以上的建筑，主体施工至第八层未安装施工电梯的；施工升降机防坠器、梯笼门安全联锁装置不符合要求；起重机械基础泡水的；附墙装置不符合要求的；多塔作业无防碰撞措施的。     每项扣2</w:t>
            </w:r>
            <w:r>
              <w:rPr>
                <w:rFonts w:hint="eastAsia"/>
                <w:szCs w:val="21"/>
              </w:rPr>
              <w:t>~</w:t>
            </w:r>
            <w:r>
              <w:rPr>
                <w:rFonts w:ascii="宋体" w:hAnsi="宋体" w:cs="宋体"/>
                <w:szCs w:val="21"/>
              </w:rPr>
              <w:t>6</w:t>
            </w:r>
            <w:r>
              <w:rPr>
                <w:rFonts w:hint="eastAsia" w:ascii="宋体" w:hAnsi="宋体" w:cs="宋体"/>
                <w:szCs w:val="21"/>
              </w:rPr>
              <w:t>分</w:t>
            </w:r>
          </w:p>
        </w:tc>
        <w:tc>
          <w:tcPr>
            <w:tcW w:w="709" w:type="dxa"/>
            <w:noWrap/>
            <w:vAlign w:val="center"/>
          </w:tcPr>
          <w:p w14:paraId="4E762AE7">
            <w:pPr>
              <w:spacing w:line="280" w:lineRule="exact"/>
              <w:jc w:val="center"/>
              <w:rPr>
                <w:rFonts w:hint="eastAsia" w:ascii="宋体" w:hAnsi="宋体"/>
                <w:color w:val="000000"/>
                <w:szCs w:val="21"/>
              </w:rPr>
            </w:pPr>
          </w:p>
        </w:tc>
        <w:tc>
          <w:tcPr>
            <w:tcW w:w="567" w:type="dxa"/>
            <w:vMerge w:val="continue"/>
            <w:noWrap/>
            <w:vAlign w:val="center"/>
          </w:tcPr>
          <w:p w14:paraId="6394085C">
            <w:pPr>
              <w:spacing w:line="280" w:lineRule="exact"/>
              <w:jc w:val="center"/>
              <w:rPr>
                <w:rFonts w:hint="eastAsia" w:ascii="宋体" w:hAnsi="宋体"/>
                <w:color w:val="000000"/>
                <w:szCs w:val="21"/>
              </w:rPr>
            </w:pPr>
          </w:p>
        </w:tc>
      </w:tr>
      <w:tr w14:paraId="2369C9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28" w:type="dxa"/>
            <w:right w:w="57" w:type="dxa"/>
          </w:tblCellMar>
        </w:tblPrEx>
        <w:trPr>
          <w:cantSplit/>
          <w:trHeight w:val="1385" w:hRule="atLeast"/>
          <w:jc w:val="center"/>
        </w:trPr>
        <w:tc>
          <w:tcPr>
            <w:tcW w:w="908" w:type="dxa"/>
            <w:vMerge w:val="continue"/>
            <w:noWrap/>
          </w:tcPr>
          <w:p w14:paraId="35586B34">
            <w:pPr>
              <w:spacing w:line="280" w:lineRule="exact"/>
              <w:rPr>
                <w:rFonts w:hint="eastAsia" w:ascii="宋体" w:hAnsi="宋体"/>
                <w:color w:val="000000"/>
                <w:szCs w:val="21"/>
              </w:rPr>
            </w:pPr>
          </w:p>
        </w:tc>
        <w:tc>
          <w:tcPr>
            <w:tcW w:w="992" w:type="dxa"/>
            <w:noWrap/>
            <w:vAlign w:val="center"/>
          </w:tcPr>
          <w:p w14:paraId="196D639A">
            <w:pPr>
              <w:spacing w:line="280" w:lineRule="exact"/>
              <w:jc w:val="center"/>
              <w:rPr>
                <w:rFonts w:hint="eastAsia" w:ascii="宋体" w:hAnsi="宋体"/>
                <w:color w:val="000000"/>
                <w:szCs w:val="21"/>
              </w:rPr>
            </w:pPr>
            <w:r>
              <w:rPr>
                <w:rFonts w:hint="eastAsia" w:ascii="宋体" w:hAnsi="宋体"/>
                <w:color w:val="000000"/>
                <w:szCs w:val="21"/>
              </w:rPr>
              <w:t>施工机具（5分）</w:t>
            </w:r>
          </w:p>
        </w:tc>
        <w:tc>
          <w:tcPr>
            <w:tcW w:w="7229" w:type="dxa"/>
            <w:gridSpan w:val="4"/>
            <w:noWrap/>
            <w:vAlign w:val="center"/>
          </w:tcPr>
          <w:p w14:paraId="32B8E2F3">
            <w:pPr>
              <w:spacing w:line="280" w:lineRule="exact"/>
              <w:rPr>
                <w:rFonts w:hint="eastAsia" w:ascii="宋体" w:hAnsi="宋体"/>
                <w:color w:val="000000"/>
                <w:szCs w:val="21"/>
              </w:rPr>
            </w:pPr>
            <w:r>
              <w:rPr>
                <w:rFonts w:hint="eastAsia" w:ascii="宋体" w:hAnsi="宋体"/>
                <w:color w:val="000000"/>
                <w:szCs w:val="21"/>
              </w:rPr>
              <w:t>施</w:t>
            </w:r>
            <w:r>
              <w:rPr>
                <w:rFonts w:hint="eastAsia" w:ascii="宋体" w:hAnsi="宋体" w:cs="宋体"/>
                <w:szCs w:val="21"/>
              </w:rPr>
              <w:t>工机具安装后未履行验收程序的，扣3分；圆盘锯未安装防护罩的，每台设备扣1分；钢筋加工设备、搅拌机等露天作业的，每台设备扣2分。</w:t>
            </w:r>
          </w:p>
        </w:tc>
        <w:tc>
          <w:tcPr>
            <w:tcW w:w="709" w:type="dxa"/>
            <w:noWrap/>
            <w:vAlign w:val="center"/>
          </w:tcPr>
          <w:p w14:paraId="11A0959A">
            <w:pPr>
              <w:spacing w:line="280" w:lineRule="exact"/>
              <w:jc w:val="center"/>
              <w:rPr>
                <w:rFonts w:hint="eastAsia" w:ascii="宋体" w:hAnsi="宋体"/>
                <w:color w:val="000000"/>
                <w:szCs w:val="21"/>
              </w:rPr>
            </w:pPr>
          </w:p>
        </w:tc>
        <w:tc>
          <w:tcPr>
            <w:tcW w:w="567" w:type="dxa"/>
            <w:vMerge w:val="continue"/>
            <w:noWrap/>
            <w:vAlign w:val="center"/>
          </w:tcPr>
          <w:p w14:paraId="73BCFE6C">
            <w:pPr>
              <w:spacing w:line="280" w:lineRule="exact"/>
              <w:jc w:val="center"/>
              <w:rPr>
                <w:rFonts w:hint="eastAsia" w:ascii="宋体" w:hAnsi="宋体"/>
                <w:color w:val="000000"/>
                <w:szCs w:val="21"/>
              </w:rPr>
            </w:pPr>
          </w:p>
        </w:tc>
      </w:tr>
      <w:tr w14:paraId="286567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28" w:type="dxa"/>
            <w:right w:w="57" w:type="dxa"/>
          </w:tblCellMar>
        </w:tblPrEx>
        <w:trPr>
          <w:cantSplit/>
          <w:trHeight w:val="953" w:hRule="atLeast"/>
          <w:jc w:val="center"/>
        </w:trPr>
        <w:tc>
          <w:tcPr>
            <w:tcW w:w="908" w:type="dxa"/>
            <w:noWrap/>
          </w:tcPr>
          <w:p w14:paraId="3B17133B">
            <w:pPr>
              <w:spacing w:line="280" w:lineRule="exact"/>
              <w:jc w:val="center"/>
              <w:rPr>
                <w:rFonts w:hint="eastAsia" w:ascii="宋体" w:hAnsi="宋体"/>
                <w:color w:val="000000"/>
                <w:szCs w:val="21"/>
              </w:rPr>
            </w:pPr>
            <w:r>
              <w:rPr>
                <w:rFonts w:hint="eastAsia" w:ascii="宋体" w:hAnsi="宋体"/>
                <w:color w:val="000000"/>
                <w:szCs w:val="21"/>
              </w:rPr>
              <w:t>加分项</w:t>
            </w:r>
          </w:p>
          <w:p w14:paraId="0BB503A6">
            <w:pPr>
              <w:bidi/>
              <w:spacing w:line="280" w:lineRule="exact"/>
              <w:jc w:val="center"/>
              <w:rPr>
                <w:rFonts w:hint="eastAsia" w:ascii="宋体" w:hAnsi="宋体"/>
                <w:color w:val="FF0000"/>
                <w:szCs w:val="21"/>
              </w:rPr>
            </w:pPr>
            <w:r>
              <w:rPr>
                <w:rFonts w:hint="eastAsia" w:ascii="宋体" w:hAnsi="宋体"/>
                <w:color w:val="000000"/>
                <w:szCs w:val="21"/>
              </w:rPr>
              <w:t>（1-5分）</w:t>
            </w:r>
          </w:p>
        </w:tc>
        <w:tc>
          <w:tcPr>
            <w:tcW w:w="992" w:type="dxa"/>
            <w:noWrap/>
            <w:vAlign w:val="center"/>
          </w:tcPr>
          <w:p w14:paraId="5B413DAB">
            <w:pPr>
              <w:widowControl/>
              <w:spacing w:line="280" w:lineRule="exact"/>
              <w:jc w:val="center"/>
              <w:rPr>
                <w:rFonts w:hint="eastAsia" w:ascii="仿宋" w:hAnsi="仿宋" w:eastAsia="仿宋" w:cs="仿宋_GB2312"/>
                <w:snapToGrid w:val="0"/>
                <w:color w:val="FF0000"/>
                <w:kern w:val="0"/>
                <w:szCs w:val="21"/>
              </w:rPr>
            </w:pPr>
            <w:r>
              <w:rPr>
                <w:rFonts w:hint="eastAsia" w:ascii="宋体" w:hAnsi="宋体" w:cs="宋体"/>
                <w:snapToGrid w:val="0"/>
                <w:kern w:val="0"/>
                <w:szCs w:val="21"/>
              </w:rPr>
              <w:t>（1-5分）</w:t>
            </w:r>
          </w:p>
        </w:tc>
        <w:tc>
          <w:tcPr>
            <w:tcW w:w="7229" w:type="dxa"/>
            <w:gridSpan w:val="4"/>
            <w:noWrap/>
            <w:vAlign w:val="center"/>
          </w:tcPr>
          <w:p w14:paraId="56445C1C">
            <w:pPr>
              <w:widowControl/>
              <w:spacing w:line="280" w:lineRule="exact"/>
              <w:rPr>
                <w:rFonts w:hint="eastAsia" w:ascii="宋体" w:hAnsi="宋体" w:cs="宋体"/>
                <w:snapToGrid w:val="0"/>
                <w:kern w:val="0"/>
                <w:szCs w:val="21"/>
              </w:rPr>
            </w:pPr>
            <w:r>
              <w:rPr>
                <w:rFonts w:hint="eastAsia" w:ascii="宋体" w:hAnsi="宋体" w:cs="宋体"/>
                <w:szCs w:val="21"/>
              </w:rPr>
              <w:t>使用</w:t>
            </w:r>
            <w:r>
              <w:rPr>
                <w:rFonts w:hint="eastAsia" w:ascii="宋体" w:hAnsi="宋体" w:cs="宋体"/>
                <w:snapToGrid w:val="0"/>
                <w:kern w:val="0"/>
                <w:szCs w:val="21"/>
              </w:rPr>
              <w:t>新材料、新设备、新工艺、新技术、专利技术、建设工法等，</w:t>
            </w:r>
            <w:r>
              <w:rPr>
                <w:rFonts w:hint="eastAsia" w:ascii="宋体" w:hAnsi="宋体" w:cs="宋体"/>
                <w:szCs w:val="21"/>
              </w:rPr>
              <w:t>如承办市级、区级观摩工地的。</w:t>
            </w:r>
          </w:p>
          <w:p w14:paraId="4F9D0904">
            <w:pPr>
              <w:widowControl/>
              <w:spacing w:line="280" w:lineRule="exact"/>
              <w:rPr>
                <w:rFonts w:hint="eastAsia" w:ascii="宋体" w:hAnsi="宋体" w:cs="宋体"/>
                <w:color w:val="FF0000"/>
                <w:kern w:val="0"/>
                <w:szCs w:val="21"/>
              </w:rPr>
            </w:pPr>
          </w:p>
        </w:tc>
        <w:tc>
          <w:tcPr>
            <w:tcW w:w="709" w:type="dxa"/>
            <w:noWrap/>
            <w:vAlign w:val="center"/>
          </w:tcPr>
          <w:p w14:paraId="30E6D739">
            <w:pPr>
              <w:spacing w:line="280" w:lineRule="exact"/>
              <w:jc w:val="center"/>
              <w:rPr>
                <w:rFonts w:hint="eastAsia" w:ascii="宋体" w:hAnsi="宋体"/>
                <w:color w:val="000000"/>
                <w:szCs w:val="21"/>
              </w:rPr>
            </w:pPr>
          </w:p>
        </w:tc>
        <w:tc>
          <w:tcPr>
            <w:tcW w:w="567" w:type="dxa"/>
            <w:noWrap/>
            <w:vAlign w:val="center"/>
          </w:tcPr>
          <w:p w14:paraId="7E7C4D6D">
            <w:pPr>
              <w:spacing w:line="280" w:lineRule="exact"/>
              <w:jc w:val="center"/>
              <w:rPr>
                <w:rFonts w:hint="eastAsia" w:ascii="宋体" w:hAnsi="宋体"/>
                <w:color w:val="000000"/>
                <w:szCs w:val="21"/>
              </w:rPr>
            </w:pPr>
          </w:p>
        </w:tc>
      </w:tr>
      <w:tr w14:paraId="437621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28" w:type="dxa"/>
            <w:right w:w="57" w:type="dxa"/>
          </w:tblCellMar>
        </w:tblPrEx>
        <w:trPr>
          <w:cantSplit/>
          <w:trHeight w:val="862" w:hRule="atLeast"/>
          <w:jc w:val="center"/>
        </w:trPr>
        <w:tc>
          <w:tcPr>
            <w:tcW w:w="10405" w:type="dxa"/>
            <w:gridSpan w:val="8"/>
            <w:noWrap/>
            <w:vAlign w:val="center"/>
          </w:tcPr>
          <w:p w14:paraId="0D57FBF5">
            <w:pPr>
              <w:spacing w:line="280" w:lineRule="exact"/>
              <w:jc w:val="left"/>
              <w:rPr>
                <w:rFonts w:hint="eastAsia" w:ascii="宋体" w:hAnsi="宋体"/>
                <w:color w:val="000000"/>
                <w:szCs w:val="21"/>
              </w:rPr>
            </w:pPr>
            <w:r>
              <w:rPr>
                <w:rFonts w:hint="eastAsia" w:ascii="宋体" w:hAnsi="宋体"/>
                <w:color w:val="000000"/>
                <w:szCs w:val="21"/>
              </w:rPr>
              <w:t xml:space="preserve">检查人（签字）：   </w:t>
            </w:r>
          </w:p>
        </w:tc>
      </w:tr>
    </w:tbl>
    <w:p w14:paraId="23C2AFD7">
      <w:pPr>
        <w:ind w:left="630" w:leftChars="100" w:hanging="420" w:hangingChars="200"/>
        <w:rPr>
          <w:szCs w:val="21"/>
        </w:rPr>
      </w:pPr>
      <w:r>
        <w:rPr>
          <w:rFonts w:hint="eastAsia"/>
          <w:szCs w:val="21"/>
        </w:rPr>
        <w:t>注：1.检查内容中保证项目不符合要求的该评分项目为</w:t>
      </w:r>
      <w:r>
        <w:rPr>
          <w:szCs w:val="21"/>
        </w:rPr>
        <w:t>0</w:t>
      </w:r>
      <w:r>
        <w:rPr>
          <w:rFonts w:hint="eastAsia"/>
          <w:szCs w:val="21"/>
        </w:rPr>
        <w:t>分。</w:t>
      </w:r>
    </w:p>
    <w:p w14:paraId="3D5C8188">
      <w:pPr>
        <w:ind w:left="630" w:leftChars="300"/>
        <w:rPr>
          <w:szCs w:val="21"/>
        </w:rPr>
      </w:pPr>
      <w:r>
        <w:rPr>
          <w:rFonts w:hint="eastAsia"/>
          <w:szCs w:val="21"/>
        </w:rPr>
        <w:t>2.</w:t>
      </w:r>
      <w:r>
        <w:t>每项次扣分按发现违反的点位累加，扣完为止</w:t>
      </w:r>
      <w:r>
        <w:rPr>
          <w:rFonts w:hint="eastAsia"/>
        </w:rPr>
        <w:t>。</w:t>
      </w:r>
    </w:p>
    <w:p w14:paraId="280CA645">
      <w:pPr>
        <w:ind w:firstLine="630" w:firstLineChars="300"/>
        <w:rPr>
          <w:szCs w:val="21"/>
        </w:rPr>
      </w:pPr>
      <w:r>
        <w:rPr>
          <w:rFonts w:hint="eastAsia"/>
          <w:szCs w:val="21"/>
        </w:rPr>
        <w:t>3.如有缺项时，机电设备得分=实查项目实得分值之和/实查项目应得分值之和×25</w:t>
      </w:r>
    </w:p>
    <w:sectPr>
      <w:pgSz w:w="11906" w:h="16838"/>
      <w:pgMar w:top="238" w:right="567" w:bottom="142" w:left="567" w:header="851" w:footer="113" w:gutter="0"/>
      <w:pgNumType w:start="45"/>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OTg1N2NlOTVkZGI4ZmM2ZTZkZWZjYWYyNjg2MzI0OTEifQ=="/>
  </w:docVars>
  <w:rsids>
    <w:rsidRoot w:val="76E425DB"/>
    <w:rsid w:val="00026956"/>
    <w:rsid w:val="00052A06"/>
    <w:rsid w:val="000A4A08"/>
    <w:rsid w:val="000A6183"/>
    <w:rsid w:val="000F0933"/>
    <w:rsid w:val="001559B9"/>
    <w:rsid w:val="0018521D"/>
    <w:rsid w:val="001B0BBC"/>
    <w:rsid w:val="001C1F3C"/>
    <w:rsid w:val="001D41CE"/>
    <w:rsid w:val="00202919"/>
    <w:rsid w:val="00252674"/>
    <w:rsid w:val="002C04B7"/>
    <w:rsid w:val="002D0A01"/>
    <w:rsid w:val="003263A3"/>
    <w:rsid w:val="0035597B"/>
    <w:rsid w:val="00430035"/>
    <w:rsid w:val="00457D39"/>
    <w:rsid w:val="004635DD"/>
    <w:rsid w:val="00491867"/>
    <w:rsid w:val="004F087F"/>
    <w:rsid w:val="005B58BD"/>
    <w:rsid w:val="005C6BB2"/>
    <w:rsid w:val="00682AAD"/>
    <w:rsid w:val="00721195"/>
    <w:rsid w:val="007607E7"/>
    <w:rsid w:val="00802FFE"/>
    <w:rsid w:val="00806E7A"/>
    <w:rsid w:val="008179CE"/>
    <w:rsid w:val="00853793"/>
    <w:rsid w:val="008E180E"/>
    <w:rsid w:val="008E627C"/>
    <w:rsid w:val="00905193"/>
    <w:rsid w:val="00A07EE6"/>
    <w:rsid w:val="00A268A0"/>
    <w:rsid w:val="00A50578"/>
    <w:rsid w:val="00A51EAD"/>
    <w:rsid w:val="00A70D0D"/>
    <w:rsid w:val="00A932E3"/>
    <w:rsid w:val="00AD60B2"/>
    <w:rsid w:val="00B4114E"/>
    <w:rsid w:val="00B43C06"/>
    <w:rsid w:val="00BE53CA"/>
    <w:rsid w:val="00BE56FD"/>
    <w:rsid w:val="00C66772"/>
    <w:rsid w:val="00CE2DF1"/>
    <w:rsid w:val="00CF1B50"/>
    <w:rsid w:val="00D13CFD"/>
    <w:rsid w:val="00D519FE"/>
    <w:rsid w:val="00DE1154"/>
    <w:rsid w:val="00E359A3"/>
    <w:rsid w:val="00E66B0C"/>
    <w:rsid w:val="00EA5EE5"/>
    <w:rsid w:val="00ED5C9A"/>
    <w:rsid w:val="00EF0882"/>
    <w:rsid w:val="00F14CC3"/>
    <w:rsid w:val="00F966E4"/>
    <w:rsid w:val="00FF7709"/>
    <w:rsid w:val="00FF7F38"/>
    <w:rsid w:val="02BB1773"/>
    <w:rsid w:val="0FAB6DD3"/>
    <w:rsid w:val="16B4258D"/>
    <w:rsid w:val="194B490D"/>
    <w:rsid w:val="1A5D60FC"/>
    <w:rsid w:val="20D7538E"/>
    <w:rsid w:val="20FE45DC"/>
    <w:rsid w:val="23860446"/>
    <w:rsid w:val="23CB34D2"/>
    <w:rsid w:val="2A646C16"/>
    <w:rsid w:val="2F9D173C"/>
    <w:rsid w:val="3BC322FA"/>
    <w:rsid w:val="3DC21BC9"/>
    <w:rsid w:val="40CB57AB"/>
    <w:rsid w:val="40DB14D8"/>
    <w:rsid w:val="40EC1775"/>
    <w:rsid w:val="47251D76"/>
    <w:rsid w:val="4AEE6306"/>
    <w:rsid w:val="557424A8"/>
    <w:rsid w:val="56135DF2"/>
    <w:rsid w:val="59994A81"/>
    <w:rsid w:val="5A3B42B3"/>
    <w:rsid w:val="5C3A404D"/>
    <w:rsid w:val="5FE250CB"/>
    <w:rsid w:val="612912AB"/>
    <w:rsid w:val="63821E6E"/>
    <w:rsid w:val="7664069C"/>
    <w:rsid w:val="76E425DB"/>
    <w:rsid w:val="7854327F"/>
    <w:rsid w:val="7CC05B0C"/>
    <w:rsid w:val="7D0E2DC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autoRedefine/>
    <w:qFormat/>
    <w:uiPriority w:val="0"/>
    <w:pPr>
      <w:tabs>
        <w:tab w:val="center" w:pos="4153"/>
        <w:tab w:val="right" w:pos="8306"/>
      </w:tabs>
      <w:snapToGrid w:val="0"/>
      <w:jc w:val="left"/>
    </w:pPr>
    <w:rPr>
      <w:sz w:val="18"/>
      <w:szCs w:val="18"/>
    </w:rPr>
  </w:style>
  <w:style w:type="paragraph" w:styleId="3">
    <w:name w:val="header"/>
    <w:basedOn w:val="1"/>
    <w:link w:val="6"/>
    <w:autoRedefine/>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autoRedefine/>
    <w:qFormat/>
    <w:uiPriority w:val="0"/>
    <w:rPr>
      <w:kern w:val="2"/>
      <w:sz w:val="18"/>
      <w:szCs w:val="18"/>
    </w:rPr>
  </w:style>
  <w:style w:type="character" w:customStyle="1" w:styleId="7">
    <w:name w:val="页脚 字符"/>
    <w:basedOn w:val="5"/>
    <w:link w:val="2"/>
    <w:autoRedefine/>
    <w:qFormat/>
    <w:uiPriority w:val="0"/>
    <w:rPr>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LFKJ</Company>
  <Pages>1</Pages>
  <Words>1001</Words>
  <Characters>1019</Characters>
  <Lines>8</Lines>
  <Paragraphs>2</Paragraphs>
  <TotalTime>10</TotalTime>
  <ScaleCrop>false</ScaleCrop>
  <LinksUpToDate>false</LinksUpToDate>
  <CharactersWithSpaces>1112</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2019-12-06T08:36:00Z</dcterms:created>
  <dc:creator>Administrator</dc:creator>
  <cp:lastModifiedBy>果果</cp:lastModifiedBy>
  <cp:lastPrinted>2025-09-14T08:42:00Z</cp:lastPrinted>
  <dcterms:modified xsi:type="dcterms:W3CDTF">2026-01-27T00:55:14Z</dcterms:modified>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574818522AB44B1A870A9D239F280AC8</vt:lpwstr>
  </property>
  <property fmtid="{D5CDD505-2E9C-101B-9397-08002B2CF9AE}" pid="4" name="KSOTemplateDocerSaveRecord">
    <vt:lpwstr>eyJoZGlkIjoiZmJiOGZhOGEwYmRhMWViZWFlNjc4NzNkZjI2YzgyZDkiLCJ1c2VySWQiOiI2NTAwMjc1MjMifQ==</vt:lpwstr>
  </property>
</Properties>
</file>