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0684C">
      <w:pPr>
        <w:spacing w:line="400" w:lineRule="exact"/>
        <w:jc w:val="center"/>
        <w:rPr>
          <w:rFonts w:ascii="宋体" w:hAnsi="宋体"/>
          <w:b/>
          <w:bCs/>
          <w:color w:val="auto"/>
          <w:sz w:val="28"/>
          <w:szCs w:val="28"/>
        </w:rPr>
      </w:pPr>
      <w:r>
        <w:rPr>
          <w:rFonts w:hint="eastAsia" w:ascii="宋体" w:hAnsi="宋体"/>
          <w:b/>
          <w:bCs/>
          <w:color w:val="000000"/>
          <w:sz w:val="28"/>
          <w:szCs w:val="28"/>
        </w:rPr>
        <w:t>南</w:t>
      </w:r>
      <w:r>
        <w:rPr>
          <w:rFonts w:hint="eastAsia" w:ascii="宋体" w:hAnsi="宋体"/>
          <w:b/>
          <w:bCs/>
          <w:color w:val="auto"/>
          <w:sz w:val="28"/>
          <w:szCs w:val="28"/>
        </w:rPr>
        <w:t>宁市建设工程安全文明标准化</w:t>
      </w:r>
      <w:r>
        <w:rPr>
          <w:rFonts w:hint="eastAsia" w:asciiTheme="minorEastAsia" w:hAnsiTheme="minorEastAsia" w:eastAsiaTheme="minorEastAsia" w:cstheme="minorEastAsia"/>
          <w:b/>
          <w:bCs/>
          <w:snapToGrid w:val="0"/>
          <w:color w:val="auto"/>
          <w:kern w:val="0"/>
          <w:sz w:val="28"/>
          <w:szCs w:val="28"/>
        </w:rPr>
        <w:t>工地学习交流活动</w:t>
      </w:r>
      <w:r>
        <w:rPr>
          <w:rFonts w:hint="eastAsia" w:ascii="宋体" w:hAnsi="宋体"/>
          <w:b/>
          <w:bCs/>
          <w:color w:val="auto"/>
          <w:sz w:val="28"/>
          <w:szCs w:val="28"/>
        </w:rPr>
        <w:t>核查评分表</w:t>
      </w:r>
    </w:p>
    <w:p w14:paraId="0E43ABF3">
      <w:pPr>
        <w:spacing w:line="400" w:lineRule="exact"/>
        <w:jc w:val="center"/>
        <w:rPr>
          <w:rFonts w:hint="eastAsia" w:ascii="仿宋" w:hAnsi="仿宋" w:eastAsia="仿宋"/>
          <w:b/>
          <w:bCs/>
          <w:snapToGrid w:val="0"/>
          <w:kern w:val="0"/>
          <w:sz w:val="24"/>
        </w:rPr>
      </w:pPr>
      <w:r>
        <w:rPr>
          <w:rFonts w:hint="eastAsia" w:ascii="仿宋" w:hAnsi="仿宋" w:eastAsia="仿宋" w:cs="仿宋"/>
          <w:b/>
          <w:bCs/>
          <w:snapToGrid w:val="0"/>
          <w:kern w:val="0"/>
          <w:sz w:val="24"/>
        </w:rPr>
        <w:t>房屋建筑部分（安全生产）</w:t>
      </w:r>
    </w:p>
    <w:p w14:paraId="1F8FF6DC">
      <w:pPr>
        <w:jc w:val="center"/>
        <w:rPr>
          <w:rFonts w:hint="eastAsia" w:ascii="宋体" w:hAnsi="宋体"/>
          <w:color w:val="000000"/>
          <w:szCs w:val="21"/>
        </w:rPr>
      </w:pPr>
    </w:p>
    <w:p w14:paraId="60584CEA">
      <w:pPr>
        <w:ind w:left="420" w:leftChars="100" w:hanging="210" w:hangingChars="100"/>
        <w:jc w:val="left"/>
        <w:rPr>
          <w:szCs w:val="21"/>
        </w:rPr>
      </w:pPr>
      <w:r>
        <w:rPr>
          <w:rFonts w:hint="eastAsia" w:ascii="宋体" w:hAnsi="宋体"/>
          <w:color w:val="000000"/>
          <w:szCs w:val="21"/>
        </w:rPr>
        <w:t xml:space="preserve">工程名称:                                                                  </w:t>
      </w:r>
      <w:r>
        <w:rPr>
          <w:rFonts w:hint="eastAsia"/>
          <w:szCs w:val="21"/>
        </w:rPr>
        <w:t>检查日期：         表二</w:t>
      </w:r>
    </w:p>
    <w:tbl>
      <w:tblPr>
        <w:tblStyle w:val="4"/>
        <w:tblpPr w:leftFromText="180" w:rightFromText="180" w:vertAnchor="text" w:tblpXSpec="center" w:tblpY="1"/>
        <w:tblOverlap w:val="never"/>
        <w:tblW w:w="10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28" w:type="dxa"/>
          <w:right w:w="57" w:type="dxa"/>
        </w:tblCellMar>
      </w:tblPr>
      <w:tblGrid>
        <w:gridCol w:w="908"/>
        <w:gridCol w:w="992"/>
        <w:gridCol w:w="1338"/>
        <w:gridCol w:w="2037"/>
        <w:gridCol w:w="1023"/>
        <w:gridCol w:w="2831"/>
        <w:gridCol w:w="709"/>
        <w:gridCol w:w="567"/>
      </w:tblGrid>
      <w:tr w14:paraId="64562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0" w:hRule="atLeast"/>
          <w:jc w:val="center"/>
        </w:trPr>
        <w:tc>
          <w:tcPr>
            <w:tcW w:w="1900" w:type="dxa"/>
            <w:gridSpan w:val="2"/>
            <w:noWrap/>
            <w:vAlign w:val="center"/>
          </w:tcPr>
          <w:p w14:paraId="6FF7BE62">
            <w:pPr>
              <w:spacing w:line="280" w:lineRule="exact"/>
              <w:jc w:val="center"/>
              <w:rPr>
                <w:rFonts w:hint="eastAsia" w:ascii="宋体" w:hAnsi="宋体"/>
                <w:color w:val="000000"/>
                <w:szCs w:val="21"/>
              </w:rPr>
            </w:pPr>
            <w:r>
              <w:rPr>
                <w:rFonts w:hint="eastAsia" w:ascii="宋体" w:hAnsi="宋体"/>
                <w:color w:val="000000"/>
                <w:szCs w:val="21"/>
              </w:rPr>
              <w:t>施工单位</w:t>
            </w:r>
          </w:p>
        </w:tc>
        <w:tc>
          <w:tcPr>
            <w:tcW w:w="3375" w:type="dxa"/>
            <w:gridSpan w:val="2"/>
            <w:noWrap/>
            <w:vAlign w:val="center"/>
          </w:tcPr>
          <w:p w14:paraId="70674040">
            <w:pPr>
              <w:spacing w:line="280" w:lineRule="exact"/>
              <w:rPr>
                <w:rFonts w:hint="eastAsia" w:ascii="宋体" w:hAnsi="宋体"/>
                <w:color w:val="000000"/>
                <w:szCs w:val="21"/>
              </w:rPr>
            </w:pPr>
          </w:p>
        </w:tc>
        <w:tc>
          <w:tcPr>
            <w:tcW w:w="1023" w:type="dxa"/>
            <w:noWrap/>
            <w:vAlign w:val="center"/>
          </w:tcPr>
          <w:p w14:paraId="0E46A4A1">
            <w:pPr>
              <w:spacing w:line="280" w:lineRule="exact"/>
              <w:jc w:val="center"/>
              <w:rPr>
                <w:rFonts w:hint="eastAsia" w:ascii="宋体" w:hAnsi="宋体"/>
                <w:color w:val="000000"/>
                <w:szCs w:val="21"/>
              </w:rPr>
            </w:pPr>
            <w:r>
              <w:rPr>
                <w:rFonts w:hint="eastAsia" w:ascii="宋体" w:hAnsi="宋体"/>
                <w:color w:val="000000"/>
                <w:szCs w:val="21"/>
              </w:rPr>
              <w:t>监理单位</w:t>
            </w:r>
          </w:p>
        </w:tc>
        <w:tc>
          <w:tcPr>
            <w:tcW w:w="4107" w:type="dxa"/>
            <w:gridSpan w:val="3"/>
            <w:noWrap/>
            <w:vAlign w:val="center"/>
          </w:tcPr>
          <w:p w14:paraId="50ED82F8">
            <w:pPr>
              <w:spacing w:line="280" w:lineRule="exact"/>
              <w:jc w:val="center"/>
              <w:rPr>
                <w:rFonts w:hint="eastAsia" w:ascii="宋体" w:hAnsi="宋体"/>
                <w:color w:val="000000"/>
                <w:szCs w:val="21"/>
              </w:rPr>
            </w:pPr>
          </w:p>
        </w:tc>
      </w:tr>
      <w:tr w14:paraId="754BB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78" w:hRule="atLeast"/>
          <w:jc w:val="center"/>
        </w:trPr>
        <w:tc>
          <w:tcPr>
            <w:tcW w:w="1900" w:type="dxa"/>
            <w:gridSpan w:val="2"/>
            <w:noWrap/>
            <w:vAlign w:val="center"/>
          </w:tcPr>
          <w:p w14:paraId="41A6397D">
            <w:pPr>
              <w:spacing w:line="280" w:lineRule="exact"/>
              <w:jc w:val="center"/>
              <w:rPr>
                <w:rFonts w:hint="eastAsia" w:ascii="宋体" w:hAnsi="宋体"/>
                <w:color w:val="000000"/>
                <w:szCs w:val="21"/>
              </w:rPr>
            </w:pPr>
            <w:r>
              <w:rPr>
                <w:rFonts w:hint="eastAsia" w:ascii="宋体" w:hAnsi="宋体"/>
                <w:color w:val="000000"/>
                <w:szCs w:val="21"/>
              </w:rPr>
              <w:t>结构类型</w:t>
            </w:r>
          </w:p>
        </w:tc>
        <w:tc>
          <w:tcPr>
            <w:tcW w:w="1338" w:type="dxa"/>
            <w:noWrap/>
            <w:vAlign w:val="center"/>
          </w:tcPr>
          <w:p w14:paraId="7F1248A2">
            <w:pPr>
              <w:spacing w:line="280" w:lineRule="exact"/>
              <w:jc w:val="center"/>
              <w:rPr>
                <w:rFonts w:hint="eastAsia" w:ascii="宋体" w:hAnsi="宋体"/>
                <w:color w:val="000000"/>
                <w:szCs w:val="21"/>
              </w:rPr>
            </w:pPr>
          </w:p>
        </w:tc>
        <w:tc>
          <w:tcPr>
            <w:tcW w:w="2037" w:type="dxa"/>
            <w:noWrap/>
            <w:vAlign w:val="center"/>
          </w:tcPr>
          <w:p w14:paraId="66A43ABC">
            <w:pPr>
              <w:spacing w:line="280" w:lineRule="exact"/>
              <w:jc w:val="center"/>
              <w:rPr>
                <w:rFonts w:hint="eastAsia" w:ascii="宋体" w:hAnsi="宋体"/>
                <w:color w:val="000000"/>
                <w:szCs w:val="21"/>
              </w:rPr>
            </w:pPr>
            <w:r>
              <w:rPr>
                <w:rFonts w:hint="eastAsia" w:ascii="宋体" w:hAnsi="宋体"/>
                <w:color w:val="000000"/>
                <w:szCs w:val="21"/>
              </w:rPr>
              <w:t>结构层数</w:t>
            </w:r>
          </w:p>
        </w:tc>
        <w:tc>
          <w:tcPr>
            <w:tcW w:w="1023" w:type="dxa"/>
            <w:noWrap/>
            <w:vAlign w:val="center"/>
          </w:tcPr>
          <w:p w14:paraId="4A34381F">
            <w:pPr>
              <w:spacing w:line="280" w:lineRule="exact"/>
              <w:jc w:val="center"/>
              <w:rPr>
                <w:rFonts w:hint="eastAsia" w:ascii="宋体" w:hAnsi="宋体"/>
                <w:color w:val="000000"/>
                <w:szCs w:val="21"/>
              </w:rPr>
            </w:pPr>
          </w:p>
        </w:tc>
        <w:tc>
          <w:tcPr>
            <w:tcW w:w="2831" w:type="dxa"/>
            <w:noWrap/>
            <w:vAlign w:val="center"/>
          </w:tcPr>
          <w:p w14:paraId="59F8C84F">
            <w:pPr>
              <w:spacing w:line="280" w:lineRule="exact"/>
              <w:jc w:val="center"/>
              <w:rPr>
                <w:rFonts w:hint="eastAsia" w:ascii="宋体" w:hAnsi="宋体"/>
                <w:color w:val="000000"/>
                <w:szCs w:val="21"/>
              </w:rPr>
            </w:pPr>
            <w:r>
              <w:rPr>
                <w:rFonts w:hint="eastAsia" w:ascii="宋体" w:hAnsi="宋体"/>
                <w:color w:val="000000"/>
                <w:szCs w:val="21"/>
              </w:rPr>
              <w:t>建筑面积</w:t>
            </w:r>
          </w:p>
        </w:tc>
        <w:tc>
          <w:tcPr>
            <w:tcW w:w="1276" w:type="dxa"/>
            <w:gridSpan w:val="2"/>
            <w:noWrap/>
            <w:vAlign w:val="center"/>
          </w:tcPr>
          <w:p w14:paraId="756F44EC">
            <w:pPr>
              <w:spacing w:line="280" w:lineRule="exact"/>
              <w:jc w:val="center"/>
              <w:rPr>
                <w:rFonts w:hint="eastAsia" w:ascii="宋体" w:hAnsi="宋体"/>
                <w:color w:val="000000"/>
                <w:szCs w:val="21"/>
              </w:rPr>
            </w:pPr>
          </w:p>
        </w:tc>
      </w:tr>
      <w:tr w14:paraId="4AD9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490" w:hRule="atLeast"/>
          <w:jc w:val="center"/>
        </w:trPr>
        <w:tc>
          <w:tcPr>
            <w:tcW w:w="1900" w:type="dxa"/>
            <w:gridSpan w:val="2"/>
            <w:noWrap/>
            <w:vAlign w:val="center"/>
          </w:tcPr>
          <w:p w14:paraId="03A5B956">
            <w:pPr>
              <w:spacing w:line="280" w:lineRule="exact"/>
              <w:jc w:val="center"/>
              <w:rPr>
                <w:rFonts w:hint="eastAsia" w:ascii="宋体" w:hAnsi="宋体"/>
                <w:color w:val="000000"/>
                <w:szCs w:val="21"/>
              </w:rPr>
            </w:pPr>
            <w:r>
              <w:rPr>
                <w:rFonts w:hint="eastAsia" w:ascii="宋体" w:hAnsi="宋体"/>
                <w:color w:val="000000"/>
                <w:szCs w:val="21"/>
              </w:rPr>
              <w:t>检查项目</w:t>
            </w:r>
          </w:p>
        </w:tc>
        <w:tc>
          <w:tcPr>
            <w:tcW w:w="7229" w:type="dxa"/>
            <w:gridSpan w:val="4"/>
            <w:noWrap/>
            <w:vAlign w:val="center"/>
          </w:tcPr>
          <w:p w14:paraId="1E1E9EB2">
            <w:pPr>
              <w:spacing w:line="280" w:lineRule="exact"/>
              <w:jc w:val="center"/>
              <w:rPr>
                <w:rFonts w:hint="eastAsia" w:ascii="宋体" w:hAnsi="宋体"/>
                <w:color w:val="000000"/>
                <w:szCs w:val="21"/>
              </w:rPr>
            </w:pPr>
            <w:r>
              <w:rPr>
                <w:rFonts w:hint="eastAsia" w:ascii="宋体" w:hAnsi="宋体"/>
                <w:color w:val="000000"/>
                <w:szCs w:val="21"/>
              </w:rPr>
              <w:t>检查要求</w:t>
            </w:r>
          </w:p>
        </w:tc>
        <w:tc>
          <w:tcPr>
            <w:tcW w:w="709" w:type="dxa"/>
            <w:noWrap/>
            <w:vAlign w:val="center"/>
          </w:tcPr>
          <w:p w14:paraId="1CF15F6D">
            <w:pPr>
              <w:spacing w:line="280" w:lineRule="exact"/>
              <w:jc w:val="center"/>
              <w:rPr>
                <w:rFonts w:hint="eastAsia" w:ascii="宋体" w:hAnsi="宋体"/>
                <w:color w:val="000000"/>
                <w:szCs w:val="21"/>
              </w:rPr>
            </w:pPr>
            <w:r>
              <w:rPr>
                <w:rFonts w:hint="eastAsia"/>
                <w:szCs w:val="21"/>
              </w:rPr>
              <w:t>扣分</w:t>
            </w:r>
          </w:p>
        </w:tc>
        <w:tc>
          <w:tcPr>
            <w:tcW w:w="567" w:type="dxa"/>
            <w:noWrap/>
            <w:vAlign w:val="center"/>
          </w:tcPr>
          <w:p w14:paraId="44825AFA">
            <w:pPr>
              <w:spacing w:line="280" w:lineRule="exact"/>
              <w:jc w:val="center"/>
              <w:rPr>
                <w:rFonts w:hint="eastAsia" w:ascii="宋体" w:hAnsi="宋体"/>
                <w:color w:val="000000"/>
                <w:szCs w:val="21"/>
              </w:rPr>
            </w:pPr>
            <w:r>
              <w:rPr>
                <w:rFonts w:hint="eastAsia"/>
                <w:szCs w:val="21"/>
              </w:rPr>
              <w:t>得分</w:t>
            </w:r>
          </w:p>
        </w:tc>
      </w:tr>
      <w:tr w14:paraId="73C1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2527" w:hRule="atLeast"/>
          <w:jc w:val="center"/>
        </w:trPr>
        <w:tc>
          <w:tcPr>
            <w:tcW w:w="908" w:type="dxa"/>
            <w:vMerge w:val="restart"/>
            <w:noWrap/>
            <w:textDirection w:val="tbRlV"/>
            <w:vAlign w:val="center"/>
          </w:tcPr>
          <w:p w14:paraId="48179E44">
            <w:pPr>
              <w:spacing w:line="280" w:lineRule="exact"/>
              <w:ind w:left="113" w:right="113"/>
              <w:jc w:val="center"/>
              <w:rPr>
                <w:rFonts w:hint="eastAsia" w:ascii="宋体" w:hAnsi="宋体"/>
                <w:color w:val="000000"/>
                <w:szCs w:val="21"/>
              </w:rPr>
            </w:pPr>
            <w:r>
              <w:rPr>
                <w:rFonts w:hint="eastAsia" w:ascii="宋体" w:hAnsi="宋体"/>
                <w:color w:val="000000"/>
                <w:szCs w:val="21"/>
              </w:rPr>
              <w:t>安  全   生  产 （30分）</w:t>
            </w:r>
          </w:p>
        </w:tc>
        <w:tc>
          <w:tcPr>
            <w:tcW w:w="992" w:type="dxa"/>
            <w:noWrap/>
            <w:vAlign w:val="center"/>
          </w:tcPr>
          <w:p w14:paraId="2FF0DE49">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保证项目</w:t>
            </w:r>
          </w:p>
        </w:tc>
        <w:tc>
          <w:tcPr>
            <w:tcW w:w="7229" w:type="dxa"/>
            <w:gridSpan w:val="4"/>
            <w:noWrap/>
            <w:vAlign w:val="center"/>
          </w:tcPr>
          <w:p w14:paraId="15E6998C">
            <w:pPr>
              <w:widowControl/>
              <w:spacing w:line="280" w:lineRule="exact"/>
              <w:rPr>
                <w:rFonts w:hint="eastAsia" w:ascii="宋体" w:hAnsi="宋体" w:cs="宋体"/>
                <w:b/>
                <w:color w:val="000000"/>
                <w:kern w:val="0"/>
                <w:szCs w:val="21"/>
              </w:rPr>
            </w:pPr>
            <w:r>
              <w:rPr>
                <w:rFonts w:hint="eastAsia" w:ascii="宋体" w:hAnsi="宋体" w:cs="宋体"/>
                <w:b/>
                <w:color w:val="000000"/>
                <w:kern w:val="0"/>
                <w:szCs w:val="21"/>
              </w:rPr>
              <w:t>危大工程未编制专项施工方案或方案未经审核、审批的；</w:t>
            </w:r>
            <w:r>
              <w:rPr>
                <w:b/>
                <w:szCs w:val="21"/>
              </w:rPr>
              <w:t>超过一定规模的危</w:t>
            </w:r>
            <w:r>
              <w:rPr>
                <w:rFonts w:hint="eastAsia"/>
                <w:b/>
                <w:szCs w:val="21"/>
              </w:rPr>
              <w:t>大</w:t>
            </w:r>
            <w:r>
              <w:rPr>
                <w:b/>
                <w:szCs w:val="21"/>
              </w:rPr>
              <w:t>工程未按规定组织专家进行论证，或专项方案未按专家论证意见修改完善的</w:t>
            </w:r>
            <w:r>
              <w:rPr>
                <w:rFonts w:hint="eastAsia" w:ascii="宋体" w:hAnsi="宋体" w:cs="宋体"/>
                <w:b/>
                <w:color w:val="000000"/>
                <w:kern w:val="0"/>
                <w:szCs w:val="21"/>
              </w:rPr>
              <w:t>；外架搭设滞后于作业面或高出作业面高度不符合规范要求的；外架主节点处未设置横向水平杆的；外架连墙件设置不符合要求的；模板支架、泵送混凝土立管和施工电梯停层平台与脚手架连接的；架体搭设材料与方案不符的；模板支撑的种类现场与方案不</w:t>
            </w:r>
            <w:r>
              <w:rPr>
                <w:rFonts w:hint="eastAsia" w:ascii="宋体" w:hAnsi="宋体" w:cs="宋体"/>
                <w:b/>
                <w:kern w:val="0"/>
                <w:szCs w:val="21"/>
              </w:rPr>
              <w:t>符的；超过3.6m使用门式架或插销式钢管支撑的；</w:t>
            </w:r>
            <w:r>
              <w:rPr>
                <w:rFonts w:hint="eastAsia"/>
                <w:b/>
                <w:szCs w:val="21"/>
              </w:rPr>
              <w:t>未保持两层模板支撑体系的；铝合金模板支撑层数不符合方案要求的</w:t>
            </w:r>
            <w:r>
              <w:rPr>
                <w:rFonts w:hint="eastAsia" w:ascii="宋体" w:hAnsi="宋体" w:cs="宋体"/>
                <w:b/>
                <w:kern w:val="0"/>
                <w:szCs w:val="21"/>
              </w:rPr>
              <w:t>；</w:t>
            </w:r>
            <w:r>
              <w:rPr>
                <w:rFonts w:hint="eastAsia" w:ascii="宋体" w:hAnsi="宋体" w:cs="宋体"/>
                <w:b/>
                <w:color w:val="000000"/>
                <w:kern w:val="0"/>
                <w:szCs w:val="21"/>
              </w:rPr>
              <w:t>叠层搭设的；钢管支架与与木支架混用或不同形式的钢管支架混用的；基坑开挖不符合设计和施工方案要</w:t>
            </w:r>
            <w:r>
              <w:rPr>
                <w:rFonts w:hint="eastAsia" w:ascii="宋体" w:hAnsi="宋体" w:cs="宋体"/>
                <w:b/>
                <w:bCs/>
                <w:color w:val="000000"/>
                <w:kern w:val="0"/>
                <w:szCs w:val="21"/>
              </w:rPr>
              <w:t>求的；施工过程中使用无产品标准规范的新技术、新工艺、新材料、新设备的。</w:t>
            </w:r>
          </w:p>
        </w:tc>
        <w:tc>
          <w:tcPr>
            <w:tcW w:w="709" w:type="dxa"/>
            <w:noWrap/>
            <w:vAlign w:val="center"/>
          </w:tcPr>
          <w:p w14:paraId="12450DE4">
            <w:pPr>
              <w:spacing w:line="280" w:lineRule="exact"/>
              <w:jc w:val="center"/>
              <w:rPr>
                <w:rFonts w:hint="eastAsia" w:ascii="宋体" w:hAnsi="宋体"/>
                <w:color w:val="000000"/>
                <w:szCs w:val="21"/>
              </w:rPr>
            </w:pPr>
          </w:p>
        </w:tc>
        <w:tc>
          <w:tcPr>
            <w:tcW w:w="567" w:type="dxa"/>
            <w:vMerge w:val="restart"/>
            <w:noWrap/>
            <w:vAlign w:val="center"/>
          </w:tcPr>
          <w:p w14:paraId="74553982">
            <w:pPr>
              <w:spacing w:line="280" w:lineRule="exact"/>
              <w:jc w:val="center"/>
              <w:rPr>
                <w:rFonts w:hint="eastAsia" w:ascii="宋体" w:hAnsi="宋体"/>
                <w:color w:val="000000"/>
                <w:szCs w:val="21"/>
              </w:rPr>
            </w:pPr>
          </w:p>
        </w:tc>
      </w:tr>
      <w:tr w14:paraId="4C3B9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556" w:hRule="atLeast"/>
          <w:jc w:val="center"/>
        </w:trPr>
        <w:tc>
          <w:tcPr>
            <w:tcW w:w="908" w:type="dxa"/>
            <w:vMerge w:val="continue"/>
            <w:noWrap/>
            <w:textDirection w:val="tbRlV"/>
            <w:vAlign w:val="center"/>
          </w:tcPr>
          <w:p w14:paraId="6B18CBB3">
            <w:pPr>
              <w:spacing w:line="280" w:lineRule="exact"/>
              <w:ind w:left="113" w:right="113"/>
              <w:jc w:val="center"/>
              <w:rPr>
                <w:rFonts w:hint="eastAsia" w:ascii="宋体" w:hAnsi="宋体"/>
                <w:color w:val="000000"/>
                <w:szCs w:val="21"/>
              </w:rPr>
            </w:pPr>
          </w:p>
        </w:tc>
        <w:tc>
          <w:tcPr>
            <w:tcW w:w="992" w:type="dxa"/>
            <w:noWrap/>
            <w:vAlign w:val="center"/>
          </w:tcPr>
          <w:p w14:paraId="58F7D9D2">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资料管理（5分）</w:t>
            </w:r>
          </w:p>
        </w:tc>
        <w:tc>
          <w:tcPr>
            <w:tcW w:w="7229" w:type="dxa"/>
            <w:gridSpan w:val="4"/>
            <w:noWrap/>
            <w:vAlign w:val="center"/>
          </w:tcPr>
          <w:p w14:paraId="21A52A67">
            <w:pPr>
              <w:widowControl/>
              <w:spacing w:line="280" w:lineRule="exact"/>
              <w:rPr>
                <w:rFonts w:hint="eastAsia" w:ascii="宋体" w:hAnsi="宋体" w:cs="宋体"/>
                <w:color w:val="000000"/>
                <w:kern w:val="0"/>
                <w:szCs w:val="21"/>
              </w:rPr>
            </w:pPr>
            <w:r>
              <w:rPr>
                <w:rFonts w:hint="eastAsia" w:ascii="宋体" w:hAnsi="宋体" w:cs="宋体"/>
                <w:color w:val="000000"/>
                <w:kern w:val="0"/>
                <w:szCs w:val="21"/>
              </w:rPr>
              <w:t>脚手架防护系统无验收手续的；无架体配件进场验收记录、合格证及扣件抽样复试报告的；无模板支架验收记录的；高大模板无安全要点检查表（高大模板安全要点检查表、高大模板支架整架验收记录表、扣件拧紧抽查检查表）的；安全帽、安全网、安全带无合格证；操作平台、吊篮、防护棚无验收手续的；</w:t>
            </w:r>
            <w:r>
              <w:rPr>
                <w:rFonts w:hint="eastAsia" w:ascii="宋体" w:hAnsi="宋体" w:cs="宋体"/>
                <w:bCs/>
                <w:color w:val="000000"/>
                <w:kern w:val="0"/>
                <w:szCs w:val="21"/>
              </w:rPr>
              <w:t xml:space="preserve">未能提交基坑工程的第三方监测和施工监测资料的。    </w:t>
            </w:r>
            <w:r>
              <w:rPr>
                <w:rFonts w:hint="eastAsia"/>
                <w:szCs w:val="21"/>
              </w:rPr>
              <w:t>每项扣2~</w:t>
            </w:r>
            <w:r>
              <w:rPr>
                <w:szCs w:val="21"/>
              </w:rPr>
              <w:t>5</w:t>
            </w:r>
            <w:r>
              <w:rPr>
                <w:rFonts w:hint="eastAsia"/>
                <w:szCs w:val="21"/>
              </w:rPr>
              <w:t>分</w:t>
            </w:r>
          </w:p>
        </w:tc>
        <w:tc>
          <w:tcPr>
            <w:tcW w:w="709" w:type="dxa"/>
            <w:noWrap/>
            <w:vAlign w:val="center"/>
          </w:tcPr>
          <w:p w14:paraId="0F7F476B">
            <w:pPr>
              <w:spacing w:line="280" w:lineRule="exact"/>
              <w:jc w:val="center"/>
              <w:rPr>
                <w:rFonts w:hint="eastAsia" w:ascii="宋体" w:hAnsi="宋体"/>
                <w:color w:val="000000"/>
                <w:szCs w:val="21"/>
              </w:rPr>
            </w:pPr>
          </w:p>
        </w:tc>
        <w:tc>
          <w:tcPr>
            <w:tcW w:w="567" w:type="dxa"/>
            <w:vMerge w:val="continue"/>
            <w:noWrap/>
            <w:vAlign w:val="center"/>
          </w:tcPr>
          <w:p w14:paraId="05CFAE0C">
            <w:pPr>
              <w:spacing w:line="280" w:lineRule="exact"/>
              <w:jc w:val="center"/>
              <w:rPr>
                <w:rFonts w:hint="eastAsia" w:ascii="宋体" w:hAnsi="宋体"/>
                <w:color w:val="000000"/>
                <w:szCs w:val="21"/>
              </w:rPr>
            </w:pPr>
          </w:p>
        </w:tc>
      </w:tr>
      <w:tr w14:paraId="6B64B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383" w:hRule="atLeast"/>
          <w:jc w:val="center"/>
        </w:trPr>
        <w:tc>
          <w:tcPr>
            <w:tcW w:w="908" w:type="dxa"/>
            <w:vMerge w:val="continue"/>
            <w:noWrap/>
            <w:textDirection w:val="tbRlV"/>
            <w:vAlign w:val="center"/>
          </w:tcPr>
          <w:p w14:paraId="6FA97E7A">
            <w:pPr>
              <w:spacing w:line="280" w:lineRule="exact"/>
              <w:ind w:left="113" w:right="113"/>
              <w:jc w:val="center"/>
              <w:rPr>
                <w:rFonts w:hint="eastAsia" w:ascii="宋体" w:hAnsi="宋体"/>
                <w:color w:val="000000"/>
                <w:szCs w:val="21"/>
              </w:rPr>
            </w:pPr>
          </w:p>
        </w:tc>
        <w:tc>
          <w:tcPr>
            <w:tcW w:w="992" w:type="dxa"/>
            <w:noWrap/>
            <w:vAlign w:val="center"/>
          </w:tcPr>
          <w:p w14:paraId="405AC252">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脚手架</w:t>
            </w:r>
          </w:p>
          <w:p w14:paraId="588030E8">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（8分）</w:t>
            </w:r>
          </w:p>
        </w:tc>
        <w:tc>
          <w:tcPr>
            <w:tcW w:w="7229" w:type="dxa"/>
            <w:gridSpan w:val="4"/>
            <w:noWrap/>
            <w:vAlign w:val="center"/>
          </w:tcPr>
          <w:p w14:paraId="0CC61041">
            <w:pPr>
              <w:widowControl/>
              <w:spacing w:line="280" w:lineRule="exact"/>
              <w:rPr>
                <w:rFonts w:hint="eastAsia" w:ascii="宋体" w:hAnsi="宋体" w:cs="宋体"/>
                <w:color w:val="000000"/>
                <w:kern w:val="0"/>
                <w:szCs w:val="21"/>
              </w:rPr>
            </w:pPr>
            <w:r>
              <w:rPr>
                <w:rFonts w:hint="eastAsia" w:ascii="宋体" w:hAnsi="宋体" w:cs="宋体"/>
                <w:color w:val="000000"/>
                <w:kern w:val="0"/>
                <w:szCs w:val="21"/>
              </w:rPr>
              <w:t>外架安全网封闭未做到严密整洁，有破损的；外架未做到整洁美观的；外架基础未硬化、有积水或下沉现象、底座不符的；扫地杆设置不符合规范要求的；剪刀撑设置不符合要求的；脚手板铺设不严密，封闭层数不符合要求的；外架上有杂物的；悬挑型钢、锚固、拉结不符合方案、规范要求的；悬挑层未封闭或封闭不严的；附着式提升脚手架安全装置、附着、安装、升降、作业不符合方案、规范要求的。     每项扣</w:t>
            </w:r>
            <w:r>
              <w:rPr>
                <w:rFonts w:hint="eastAsia"/>
                <w:szCs w:val="21"/>
              </w:rPr>
              <w:t>3~</w:t>
            </w:r>
            <w:r>
              <w:rPr>
                <w:szCs w:val="21"/>
              </w:rPr>
              <w:t>5</w:t>
            </w:r>
            <w:r>
              <w:rPr>
                <w:rFonts w:hint="eastAsia"/>
                <w:szCs w:val="21"/>
              </w:rPr>
              <w:t>分</w:t>
            </w:r>
          </w:p>
        </w:tc>
        <w:tc>
          <w:tcPr>
            <w:tcW w:w="709" w:type="dxa"/>
            <w:noWrap/>
            <w:vAlign w:val="center"/>
          </w:tcPr>
          <w:p w14:paraId="6DC88613">
            <w:pPr>
              <w:spacing w:line="280" w:lineRule="exact"/>
              <w:jc w:val="center"/>
              <w:rPr>
                <w:rFonts w:hint="eastAsia" w:ascii="宋体" w:hAnsi="宋体"/>
                <w:color w:val="000000"/>
                <w:szCs w:val="21"/>
              </w:rPr>
            </w:pPr>
          </w:p>
        </w:tc>
        <w:tc>
          <w:tcPr>
            <w:tcW w:w="567" w:type="dxa"/>
            <w:vMerge w:val="continue"/>
            <w:noWrap/>
            <w:vAlign w:val="center"/>
          </w:tcPr>
          <w:p w14:paraId="1C129992">
            <w:pPr>
              <w:spacing w:line="280" w:lineRule="exact"/>
              <w:jc w:val="center"/>
              <w:rPr>
                <w:rFonts w:hint="eastAsia" w:ascii="宋体" w:hAnsi="宋体"/>
                <w:color w:val="000000"/>
                <w:szCs w:val="21"/>
              </w:rPr>
            </w:pPr>
          </w:p>
        </w:tc>
      </w:tr>
      <w:tr w14:paraId="04A4C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955" w:hRule="atLeast"/>
          <w:jc w:val="center"/>
        </w:trPr>
        <w:tc>
          <w:tcPr>
            <w:tcW w:w="908" w:type="dxa"/>
            <w:vMerge w:val="continue"/>
            <w:noWrap/>
            <w:vAlign w:val="center"/>
          </w:tcPr>
          <w:p w14:paraId="73F9D500">
            <w:pPr>
              <w:spacing w:line="280" w:lineRule="exact"/>
              <w:jc w:val="center"/>
              <w:rPr>
                <w:rFonts w:hint="eastAsia" w:ascii="宋体" w:hAnsi="宋体"/>
                <w:color w:val="000000"/>
                <w:szCs w:val="21"/>
              </w:rPr>
            </w:pPr>
          </w:p>
        </w:tc>
        <w:tc>
          <w:tcPr>
            <w:tcW w:w="992" w:type="dxa"/>
            <w:noWrap/>
            <w:vAlign w:val="center"/>
          </w:tcPr>
          <w:p w14:paraId="7048F1D6">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模板支架</w:t>
            </w:r>
          </w:p>
          <w:p w14:paraId="410DE0B5">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（8分）</w:t>
            </w:r>
          </w:p>
        </w:tc>
        <w:tc>
          <w:tcPr>
            <w:tcW w:w="7229" w:type="dxa"/>
            <w:gridSpan w:val="4"/>
            <w:noWrap/>
            <w:vAlign w:val="center"/>
          </w:tcPr>
          <w:p w14:paraId="2C02547D">
            <w:pPr>
              <w:widowControl/>
              <w:spacing w:line="280" w:lineRule="exact"/>
              <w:rPr>
                <w:rFonts w:hint="eastAsia" w:ascii="宋体" w:hAnsi="宋体" w:cs="宋体"/>
                <w:color w:val="000000"/>
                <w:kern w:val="0"/>
                <w:szCs w:val="21"/>
              </w:rPr>
            </w:pPr>
            <w:r>
              <w:rPr>
                <w:rFonts w:hint="eastAsia" w:ascii="Calibri" w:hAnsi="Calibri"/>
              </w:rPr>
              <w:t>模板支架纵距、横距、步距、剪刀撑间</w:t>
            </w:r>
            <w:r>
              <w:rPr>
                <w:rFonts w:hint="eastAsia" w:ascii="宋体" w:hAnsi="宋体" w:cs="宋体"/>
                <w:color w:val="000000"/>
                <w:kern w:val="0"/>
                <w:szCs w:val="21"/>
              </w:rPr>
              <w:t>距、水平杆、扫地杆、底座不符合专项方案要求的；立杆顶部自由端长度超</w:t>
            </w:r>
            <w:r>
              <w:rPr>
                <w:rFonts w:ascii="宋体" w:hAnsi="宋体" w:cs="宋体"/>
                <w:color w:val="000000"/>
                <w:kern w:val="0"/>
                <w:szCs w:val="21"/>
              </w:rPr>
              <w:t>50cm</w:t>
            </w:r>
            <w:r>
              <w:rPr>
                <w:rFonts w:hint="eastAsia" w:ascii="宋体" w:hAnsi="宋体" w:cs="宋体"/>
                <w:color w:val="000000"/>
                <w:kern w:val="0"/>
                <w:szCs w:val="21"/>
              </w:rPr>
              <w:t>，顶托螺杆长度大于20cm</w:t>
            </w:r>
            <w:r>
              <w:rPr>
                <w:rFonts w:hint="eastAsia" w:ascii="Calibri" w:hAnsi="Calibri"/>
              </w:rPr>
              <w:t>，封顶杆不符合要求的。     每处扣2分</w:t>
            </w:r>
          </w:p>
        </w:tc>
        <w:tc>
          <w:tcPr>
            <w:tcW w:w="709" w:type="dxa"/>
            <w:noWrap/>
            <w:vAlign w:val="center"/>
          </w:tcPr>
          <w:p w14:paraId="61AFE99E">
            <w:pPr>
              <w:spacing w:line="280" w:lineRule="exact"/>
              <w:jc w:val="center"/>
              <w:rPr>
                <w:rFonts w:hint="eastAsia" w:ascii="宋体" w:hAnsi="宋体"/>
                <w:color w:val="000000"/>
                <w:szCs w:val="21"/>
              </w:rPr>
            </w:pPr>
          </w:p>
        </w:tc>
        <w:tc>
          <w:tcPr>
            <w:tcW w:w="567" w:type="dxa"/>
            <w:vMerge w:val="continue"/>
            <w:noWrap/>
            <w:vAlign w:val="center"/>
          </w:tcPr>
          <w:p w14:paraId="722AD241">
            <w:pPr>
              <w:spacing w:line="280" w:lineRule="exact"/>
              <w:jc w:val="center"/>
              <w:rPr>
                <w:rFonts w:hint="eastAsia" w:ascii="宋体" w:hAnsi="宋体"/>
                <w:color w:val="000000"/>
                <w:szCs w:val="21"/>
              </w:rPr>
            </w:pPr>
          </w:p>
        </w:tc>
      </w:tr>
      <w:tr w14:paraId="75E76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661" w:hRule="atLeast"/>
          <w:jc w:val="center"/>
        </w:trPr>
        <w:tc>
          <w:tcPr>
            <w:tcW w:w="908" w:type="dxa"/>
            <w:vMerge w:val="continue"/>
            <w:noWrap/>
            <w:vAlign w:val="center"/>
          </w:tcPr>
          <w:p w14:paraId="566FE98F">
            <w:pPr>
              <w:spacing w:line="280" w:lineRule="exact"/>
              <w:jc w:val="center"/>
              <w:rPr>
                <w:rFonts w:hint="eastAsia" w:ascii="宋体" w:hAnsi="宋体"/>
                <w:color w:val="000000"/>
                <w:szCs w:val="21"/>
              </w:rPr>
            </w:pPr>
          </w:p>
        </w:tc>
        <w:tc>
          <w:tcPr>
            <w:tcW w:w="992" w:type="dxa"/>
            <w:noWrap/>
            <w:vAlign w:val="center"/>
          </w:tcPr>
          <w:p w14:paraId="4E6B62CA">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高处作业</w:t>
            </w:r>
          </w:p>
          <w:p w14:paraId="69D9EC14">
            <w:pPr>
              <w:widowControl/>
              <w:spacing w:line="280" w:lineRule="exact"/>
              <w:jc w:val="center"/>
              <w:rPr>
                <w:rFonts w:hint="eastAsia" w:ascii="宋体" w:hAns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4</w:t>
            </w:r>
            <w:r>
              <w:rPr>
                <w:rFonts w:hint="eastAsia" w:ascii="宋体" w:hAnsi="宋体" w:cs="宋体"/>
                <w:color w:val="000000"/>
                <w:kern w:val="0"/>
                <w:szCs w:val="21"/>
              </w:rPr>
              <w:t>分）</w:t>
            </w:r>
          </w:p>
        </w:tc>
        <w:tc>
          <w:tcPr>
            <w:tcW w:w="7229" w:type="dxa"/>
            <w:gridSpan w:val="4"/>
            <w:noWrap/>
            <w:vAlign w:val="center"/>
          </w:tcPr>
          <w:p w14:paraId="52E9B4D3">
            <w:pPr>
              <w:widowControl/>
              <w:spacing w:line="280" w:lineRule="exact"/>
              <w:rPr>
                <w:szCs w:val="21"/>
              </w:rPr>
            </w:pPr>
            <w:r>
              <w:rPr>
                <w:rFonts w:hint="eastAsia" w:ascii="宋体" w:hAnsi="宋体" w:cs="宋体"/>
                <w:color w:val="000000"/>
                <w:kern w:val="0"/>
                <w:szCs w:val="21"/>
              </w:rPr>
              <w:t>安全帽、安全带不正确使用的，每人扣1分；临</w:t>
            </w:r>
            <w:r>
              <w:rPr>
                <w:rFonts w:hint="eastAsia"/>
                <w:szCs w:val="21"/>
              </w:rPr>
              <w:t>边、洞口、通道口、楼梯口防护不严密的，每处扣1~4分；未使用标准化的防护设施的。扣</w:t>
            </w:r>
            <w:r>
              <w:rPr>
                <w:szCs w:val="21"/>
              </w:rPr>
              <w:t>2</w:t>
            </w:r>
            <w:r>
              <w:rPr>
                <w:rFonts w:hint="eastAsia"/>
                <w:szCs w:val="21"/>
              </w:rPr>
              <w:t>分</w:t>
            </w:r>
          </w:p>
        </w:tc>
        <w:tc>
          <w:tcPr>
            <w:tcW w:w="709" w:type="dxa"/>
            <w:noWrap/>
            <w:vAlign w:val="center"/>
          </w:tcPr>
          <w:p w14:paraId="0B07F60F">
            <w:pPr>
              <w:spacing w:line="280" w:lineRule="exact"/>
              <w:jc w:val="center"/>
              <w:rPr>
                <w:rFonts w:hint="eastAsia" w:ascii="宋体" w:hAnsi="宋体"/>
                <w:color w:val="000000"/>
                <w:szCs w:val="21"/>
              </w:rPr>
            </w:pPr>
          </w:p>
        </w:tc>
        <w:tc>
          <w:tcPr>
            <w:tcW w:w="567" w:type="dxa"/>
            <w:vMerge w:val="continue"/>
            <w:noWrap/>
            <w:vAlign w:val="center"/>
          </w:tcPr>
          <w:p w14:paraId="1DAE7540">
            <w:pPr>
              <w:spacing w:line="280" w:lineRule="exact"/>
              <w:jc w:val="center"/>
              <w:rPr>
                <w:rFonts w:hint="eastAsia" w:ascii="宋体" w:hAnsi="宋体"/>
                <w:color w:val="000000"/>
                <w:szCs w:val="21"/>
              </w:rPr>
            </w:pPr>
          </w:p>
        </w:tc>
      </w:tr>
      <w:tr w14:paraId="4B0C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1450" w:hRule="atLeast"/>
          <w:jc w:val="center"/>
        </w:trPr>
        <w:tc>
          <w:tcPr>
            <w:tcW w:w="908" w:type="dxa"/>
            <w:vMerge w:val="continue"/>
            <w:noWrap/>
          </w:tcPr>
          <w:p w14:paraId="3469DD57">
            <w:pPr>
              <w:spacing w:line="280" w:lineRule="exact"/>
              <w:jc w:val="center"/>
              <w:rPr>
                <w:rFonts w:hint="eastAsia" w:ascii="宋体" w:hAnsi="宋体"/>
                <w:color w:val="000000"/>
                <w:szCs w:val="21"/>
              </w:rPr>
            </w:pPr>
          </w:p>
        </w:tc>
        <w:tc>
          <w:tcPr>
            <w:tcW w:w="992" w:type="dxa"/>
            <w:noWrap/>
            <w:vAlign w:val="center"/>
          </w:tcPr>
          <w:p w14:paraId="7C34CDF4">
            <w:pPr>
              <w:widowControl/>
              <w:spacing w:line="280" w:lineRule="exact"/>
              <w:jc w:val="center"/>
              <w:rPr>
                <w:rFonts w:hint="eastAsia" w:ascii="宋体" w:hAnsi="宋体" w:cs="宋体"/>
                <w:bCs/>
                <w:color w:val="000000"/>
                <w:kern w:val="0"/>
                <w:szCs w:val="21"/>
              </w:rPr>
            </w:pPr>
            <w:r>
              <w:rPr>
                <w:rFonts w:hint="eastAsia" w:ascii="宋体" w:hAnsi="宋体" w:cs="宋体"/>
                <w:bCs/>
                <w:color w:val="000000"/>
                <w:kern w:val="0"/>
                <w:szCs w:val="21"/>
              </w:rPr>
              <w:t>基坑工程（5分）</w:t>
            </w:r>
          </w:p>
        </w:tc>
        <w:tc>
          <w:tcPr>
            <w:tcW w:w="7229" w:type="dxa"/>
            <w:gridSpan w:val="4"/>
            <w:noWrap/>
            <w:vAlign w:val="center"/>
          </w:tcPr>
          <w:p w14:paraId="7E61AAF6">
            <w:pPr>
              <w:widowControl/>
              <w:spacing w:line="280" w:lineRule="exact"/>
              <w:rPr>
                <w:rFonts w:hint="eastAsia" w:ascii="宋体" w:hAnsi="宋体" w:cs="宋体"/>
                <w:bCs/>
                <w:color w:val="000000"/>
                <w:kern w:val="0"/>
                <w:szCs w:val="21"/>
              </w:rPr>
            </w:pPr>
            <w:r>
              <w:rPr>
                <w:rFonts w:hint="eastAsia" w:ascii="宋体" w:hAnsi="宋体" w:cs="宋体"/>
                <w:color w:val="000000"/>
                <w:kern w:val="0"/>
                <w:szCs w:val="21"/>
              </w:rPr>
              <w:t>基坑顶四周未按设计或专项施工方案设排水沟和阻水带，基坑底未及时排除积水的；基坑边堆置土、料具、施工机械等距离超出基坑支护规范允许范围的；开挖深度超过2m及以上的基坑周边未安装防护栏杆或防护栏杆安装不符合规范要求的；基坑上下通道、爬(楼)梯不符合方案、规范要求的。       每项扣3</w:t>
            </w:r>
            <w:r>
              <w:rPr>
                <w:rFonts w:hint="eastAsia"/>
                <w:szCs w:val="21"/>
              </w:rPr>
              <w:t>~</w:t>
            </w:r>
            <w:r>
              <w:rPr>
                <w:rFonts w:ascii="宋体" w:hAnsi="宋体" w:cs="宋体"/>
                <w:color w:val="000000"/>
                <w:kern w:val="0"/>
                <w:szCs w:val="21"/>
              </w:rPr>
              <w:t>5</w:t>
            </w:r>
            <w:r>
              <w:rPr>
                <w:rFonts w:hint="eastAsia" w:ascii="宋体" w:hAnsi="宋体" w:cs="宋体"/>
                <w:color w:val="000000"/>
                <w:kern w:val="0"/>
                <w:szCs w:val="21"/>
              </w:rPr>
              <w:t>分</w:t>
            </w:r>
          </w:p>
        </w:tc>
        <w:tc>
          <w:tcPr>
            <w:tcW w:w="709" w:type="dxa"/>
            <w:noWrap/>
            <w:vAlign w:val="center"/>
          </w:tcPr>
          <w:p w14:paraId="381A36FB">
            <w:pPr>
              <w:spacing w:line="280" w:lineRule="exact"/>
              <w:jc w:val="center"/>
              <w:rPr>
                <w:rFonts w:hint="eastAsia" w:ascii="宋体" w:hAnsi="宋体"/>
                <w:color w:val="000000"/>
                <w:szCs w:val="21"/>
              </w:rPr>
            </w:pPr>
          </w:p>
        </w:tc>
        <w:tc>
          <w:tcPr>
            <w:tcW w:w="567" w:type="dxa"/>
            <w:vMerge w:val="continue"/>
            <w:noWrap/>
            <w:vAlign w:val="center"/>
          </w:tcPr>
          <w:p w14:paraId="73C5E724">
            <w:pPr>
              <w:spacing w:line="280" w:lineRule="exact"/>
              <w:jc w:val="center"/>
              <w:rPr>
                <w:rFonts w:hint="eastAsia" w:ascii="宋体" w:hAnsi="宋体"/>
                <w:color w:val="000000"/>
                <w:szCs w:val="21"/>
              </w:rPr>
            </w:pPr>
          </w:p>
        </w:tc>
      </w:tr>
      <w:tr w14:paraId="0A10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880" w:hRule="atLeast"/>
          <w:jc w:val="center"/>
        </w:trPr>
        <w:tc>
          <w:tcPr>
            <w:tcW w:w="908" w:type="dxa"/>
            <w:noWrap/>
          </w:tcPr>
          <w:p w14:paraId="40FB83B8">
            <w:pPr>
              <w:spacing w:line="280" w:lineRule="exact"/>
              <w:jc w:val="center"/>
              <w:rPr>
                <w:rFonts w:hint="eastAsia" w:ascii="宋体" w:hAnsi="宋体"/>
                <w:color w:val="000000"/>
                <w:szCs w:val="21"/>
              </w:rPr>
            </w:pPr>
            <w:r>
              <w:rPr>
                <w:rFonts w:hint="eastAsia" w:ascii="宋体" w:hAnsi="宋体"/>
                <w:color w:val="000000"/>
                <w:szCs w:val="21"/>
              </w:rPr>
              <w:t>加分项</w:t>
            </w:r>
          </w:p>
          <w:p w14:paraId="49F3895A">
            <w:pPr>
              <w:bidi/>
              <w:spacing w:line="280" w:lineRule="exact"/>
              <w:jc w:val="center"/>
              <w:rPr>
                <w:rFonts w:hint="eastAsia" w:ascii="宋体" w:hAnsi="宋体"/>
                <w:color w:val="FF0000"/>
                <w:szCs w:val="21"/>
              </w:rPr>
            </w:pPr>
            <w:r>
              <w:rPr>
                <w:rFonts w:hint="eastAsia" w:ascii="宋体" w:hAnsi="宋体"/>
                <w:color w:val="000000"/>
                <w:szCs w:val="21"/>
              </w:rPr>
              <w:t>（1-5分）</w:t>
            </w:r>
          </w:p>
        </w:tc>
        <w:tc>
          <w:tcPr>
            <w:tcW w:w="992" w:type="dxa"/>
            <w:noWrap/>
            <w:vAlign w:val="center"/>
          </w:tcPr>
          <w:p w14:paraId="033DC4ED">
            <w:pPr>
              <w:widowControl/>
              <w:spacing w:line="280" w:lineRule="exact"/>
              <w:jc w:val="center"/>
              <w:rPr>
                <w:rFonts w:hint="eastAsia" w:ascii="仿宋" w:hAnsi="仿宋" w:eastAsia="仿宋" w:cs="仿宋_GB2312"/>
                <w:snapToGrid w:val="0"/>
                <w:color w:val="FF0000"/>
                <w:kern w:val="0"/>
                <w:szCs w:val="21"/>
              </w:rPr>
            </w:pPr>
            <w:r>
              <w:rPr>
                <w:rFonts w:hint="eastAsia" w:ascii="宋体" w:hAnsi="宋体" w:cs="宋体"/>
                <w:snapToGrid w:val="0"/>
                <w:kern w:val="0"/>
                <w:szCs w:val="21"/>
              </w:rPr>
              <w:t>（1-5分）</w:t>
            </w:r>
          </w:p>
        </w:tc>
        <w:tc>
          <w:tcPr>
            <w:tcW w:w="7229" w:type="dxa"/>
            <w:gridSpan w:val="4"/>
            <w:noWrap/>
            <w:vAlign w:val="center"/>
          </w:tcPr>
          <w:p w14:paraId="720BEF4D">
            <w:pPr>
              <w:widowControl/>
              <w:spacing w:line="280" w:lineRule="exact"/>
              <w:rPr>
                <w:rFonts w:hint="eastAsia" w:ascii="宋体" w:hAnsi="宋体" w:cs="宋体"/>
                <w:snapToGrid w:val="0"/>
                <w:kern w:val="0"/>
                <w:szCs w:val="21"/>
              </w:rPr>
            </w:pPr>
            <w:r>
              <w:rPr>
                <w:rFonts w:hint="eastAsia" w:ascii="宋体" w:hAnsi="宋体" w:cs="宋体"/>
                <w:szCs w:val="21"/>
              </w:rPr>
              <w:t>使用</w:t>
            </w:r>
            <w:r>
              <w:rPr>
                <w:rFonts w:hint="eastAsia" w:ascii="宋体" w:hAnsi="宋体" w:cs="宋体"/>
                <w:snapToGrid w:val="0"/>
                <w:kern w:val="0"/>
                <w:szCs w:val="21"/>
              </w:rPr>
              <w:t>新材料、新设备、新工艺、新技术、专利技术、建设工法等</w:t>
            </w:r>
          </w:p>
          <w:p w14:paraId="62E1C53C">
            <w:pPr>
              <w:widowControl/>
              <w:spacing w:line="280" w:lineRule="exact"/>
              <w:rPr>
                <w:rFonts w:hint="eastAsia" w:ascii="宋体" w:hAnsi="宋体" w:cs="宋体"/>
                <w:color w:val="FF0000"/>
                <w:kern w:val="0"/>
                <w:szCs w:val="21"/>
              </w:rPr>
            </w:pPr>
          </w:p>
        </w:tc>
        <w:tc>
          <w:tcPr>
            <w:tcW w:w="709" w:type="dxa"/>
            <w:noWrap/>
            <w:vAlign w:val="center"/>
          </w:tcPr>
          <w:p w14:paraId="35246505">
            <w:pPr>
              <w:spacing w:line="280" w:lineRule="exact"/>
              <w:jc w:val="center"/>
              <w:rPr>
                <w:rFonts w:hint="eastAsia" w:ascii="宋体" w:hAnsi="宋体"/>
                <w:color w:val="FF0000"/>
                <w:szCs w:val="21"/>
              </w:rPr>
            </w:pPr>
          </w:p>
        </w:tc>
        <w:tc>
          <w:tcPr>
            <w:tcW w:w="567" w:type="dxa"/>
            <w:noWrap/>
            <w:vAlign w:val="center"/>
          </w:tcPr>
          <w:p w14:paraId="625270DC">
            <w:pPr>
              <w:spacing w:line="280" w:lineRule="exact"/>
              <w:jc w:val="center"/>
              <w:rPr>
                <w:rFonts w:hint="eastAsia" w:ascii="宋体" w:hAnsi="宋体"/>
                <w:color w:val="FF0000"/>
                <w:szCs w:val="21"/>
              </w:rPr>
            </w:pPr>
          </w:p>
        </w:tc>
      </w:tr>
      <w:tr w14:paraId="4104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28" w:type="dxa"/>
            <w:right w:w="57" w:type="dxa"/>
          </w:tblCellMar>
        </w:tblPrEx>
        <w:trPr>
          <w:cantSplit/>
          <w:trHeight w:val="926" w:hRule="atLeast"/>
          <w:jc w:val="center"/>
        </w:trPr>
        <w:tc>
          <w:tcPr>
            <w:tcW w:w="10405" w:type="dxa"/>
            <w:gridSpan w:val="8"/>
            <w:noWrap/>
            <w:vAlign w:val="center"/>
          </w:tcPr>
          <w:p w14:paraId="0FF5D35D">
            <w:pPr>
              <w:spacing w:line="280" w:lineRule="exact"/>
              <w:jc w:val="left"/>
              <w:rPr>
                <w:rFonts w:hint="eastAsia" w:ascii="宋体" w:hAnsi="宋体"/>
                <w:color w:val="000000"/>
                <w:szCs w:val="21"/>
              </w:rPr>
            </w:pPr>
            <w:r>
              <w:rPr>
                <w:rFonts w:hint="eastAsia" w:ascii="宋体" w:hAnsi="宋体"/>
                <w:color w:val="000000"/>
                <w:szCs w:val="21"/>
              </w:rPr>
              <w:t xml:space="preserve">检查人（签字）：   </w:t>
            </w:r>
          </w:p>
        </w:tc>
      </w:tr>
    </w:tbl>
    <w:p w14:paraId="23511E74">
      <w:pPr>
        <w:ind w:left="630" w:leftChars="100" w:hanging="420" w:hangingChars="200"/>
        <w:rPr>
          <w:szCs w:val="21"/>
        </w:rPr>
      </w:pPr>
      <w:r>
        <w:rPr>
          <w:rFonts w:hint="eastAsia"/>
          <w:szCs w:val="21"/>
        </w:rPr>
        <w:t>注：1.检查内容中保证项目不符合要求的该评分项目为</w:t>
      </w:r>
      <w:r>
        <w:rPr>
          <w:szCs w:val="21"/>
        </w:rPr>
        <w:t>0</w:t>
      </w:r>
      <w:r>
        <w:rPr>
          <w:rFonts w:hint="eastAsia"/>
          <w:szCs w:val="21"/>
        </w:rPr>
        <w:t>分。</w:t>
      </w:r>
      <w:bookmarkStart w:id="0" w:name="_GoBack"/>
      <w:bookmarkEnd w:id="0"/>
    </w:p>
    <w:p w14:paraId="26E449A2">
      <w:pPr>
        <w:ind w:left="630" w:leftChars="300"/>
        <w:rPr>
          <w:szCs w:val="21"/>
        </w:rPr>
      </w:pPr>
      <w:r>
        <w:rPr>
          <w:rFonts w:hint="eastAsia"/>
          <w:szCs w:val="21"/>
        </w:rPr>
        <w:t>2.</w:t>
      </w:r>
      <w:r>
        <w:t>每项次扣分按发现违反的点位累加，扣完为止</w:t>
      </w:r>
      <w:r>
        <w:rPr>
          <w:rFonts w:hint="eastAsia"/>
        </w:rPr>
        <w:t>。</w:t>
      </w:r>
    </w:p>
    <w:p w14:paraId="1007CE45">
      <w:pPr>
        <w:ind w:left="630" w:leftChars="100" w:hanging="420" w:hangingChars="200"/>
        <w:rPr>
          <w:szCs w:val="21"/>
        </w:rPr>
      </w:pPr>
      <w:r>
        <w:rPr>
          <w:rFonts w:hint="eastAsia"/>
          <w:szCs w:val="21"/>
        </w:rPr>
        <w:t xml:space="preserve">    3.如有缺项时，安全生产得分=实查项目实得分值之和/实查项目应得分值之和×30</w:t>
      </w:r>
    </w:p>
    <w:sectPr>
      <w:pgSz w:w="11906" w:h="16838"/>
      <w:pgMar w:top="238" w:right="567" w:bottom="142" w:left="567" w:header="851" w:footer="113" w:gutter="0"/>
      <w:pgNumType w:start="45"/>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g1N2NlOTVkZGI4ZmM2ZTZkZWZjYWYyNjg2MzI0OTEifQ=="/>
  </w:docVars>
  <w:rsids>
    <w:rsidRoot w:val="692A34EE"/>
    <w:rsid w:val="00003D48"/>
    <w:rsid w:val="00007EE9"/>
    <w:rsid w:val="000D6330"/>
    <w:rsid w:val="00166BF4"/>
    <w:rsid w:val="0018036E"/>
    <w:rsid w:val="001A3678"/>
    <w:rsid w:val="001E2D9C"/>
    <w:rsid w:val="00217D46"/>
    <w:rsid w:val="00270DCA"/>
    <w:rsid w:val="002A5B87"/>
    <w:rsid w:val="002B10E8"/>
    <w:rsid w:val="002E1C30"/>
    <w:rsid w:val="0033661D"/>
    <w:rsid w:val="0034618B"/>
    <w:rsid w:val="0035788C"/>
    <w:rsid w:val="00412767"/>
    <w:rsid w:val="00462E86"/>
    <w:rsid w:val="0049680F"/>
    <w:rsid w:val="004A1F9C"/>
    <w:rsid w:val="004A5AAC"/>
    <w:rsid w:val="004B1064"/>
    <w:rsid w:val="004B3180"/>
    <w:rsid w:val="004E76FB"/>
    <w:rsid w:val="00511175"/>
    <w:rsid w:val="00513A26"/>
    <w:rsid w:val="00522C70"/>
    <w:rsid w:val="005264F9"/>
    <w:rsid w:val="00533FA9"/>
    <w:rsid w:val="00556B4B"/>
    <w:rsid w:val="00557553"/>
    <w:rsid w:val="00576AAB"/>
    <w:rsid w:val="00597EDF"/>
    <w:rsid w:val="005A2837"/>
    <w:rsid w:val="005B65DC"/>
    <w:rsid w:val="005B6955"/>
    <w:rsid w:val="005D1B43"/>
    <w:rsid w:val="00613AD0"/>
    <w:rsid w:val="00671242"/>
    <w:rsid w:val="00681A94"/>
    <w:rsid w:val="006F4AD7"/>
    <w:rsid w:val="007257EE"/>
    <w:rsid w:val="00792246"/>
    <w:rsid w:val="007D66FB"/>
    <w:rsid w:val="00807E5C"/>
    <w:rsid w:val="008644BD"/>
    <w:rsid w:val="00883310"/>
    <w:rsid w:val="008F3630"/>
    <w:rsid w:val="008F569E"/>
    <w:rsid w:val="00983E36"/>
    <w:rsid w:val="009A33BF"/>
    <w:rsid w:val="009F03A1"/>
    <w:rsid w:val="00A13860"/>
    <w:rsid w:val="00A27D50"/>
    <w:rsid w:val="00A3036D"/>
    <w:rsid w:val="00A932E3"/>
    <w:rsid w:val="00AA5830"/>
    <w:rsid w:val="00B65B87"/>
    <w:rsid w:val="00BC6CD7"/>
    <w:rsid w:val="00C15340"/>
    <w:rsid w:val="00C2736D"/>
    <w:rsid w:val="00C66925"/>
    <w:rsid w:val="00C82C19"/>
    <w:rsid w:val="00C90D41"/>
    <w:rsid w:val="00CA1836"/>
    <w:rsid w:val="00CB2BAD"/>
    <w:rsid w:val="00CB7014"/>
    <w:rsid w:val="00CD18C3"/>
    <w:rsid w:val="00CE38F2"/>
    <w:rsid w:val="00D45444"/>
    <w:rsid w:val="00E818A6"/>
    <w:rsid w:val="00E92BA6"/>
    <w:rsid w:val="00E944BD"/>
    <w:rsid w:val="00F454C2"/>
    <w:rsid w:val="00FA0649"/>
    <w:rsid w:val="00FD2F06"/>
    <w:rsid w:val="00FE7C3E"/>
    <w:rsid w:val="02AD0FAF"/>
    <w:rsid w:val="03AF7F67"/>
    <w:rsid w:val="04624D27"/>
    <w:rsid w:val="05562D59"/>
    <w:rsid w:val="069E189C"/>
    <w:rsid w:val="08F23E6A"/>
    <w:rsid w:val="15FE77C1"/>
    <w:rsid w:val="188078C9"/>
    <w:rsid w:val="1A0B48E0"/>
    <w:rsid w:val="1B034CB0"/>
    <w:rsid w:val="2454245D"/>
    <w:rsid w:val="26507601"/>
    <w:rsid w:val="2DC84567"/>
    <w:rsid w:val="312A5354"/>
    <w:rsid w:val="34E70EF2"/>
    <w:rsid w:val="350038F6"/>
    <w:rsid w:val="394F6723"/>
    <w:rsid w:val="3BD00799"/>
    <w:rsid w:val="3C113C85"/>
    <w:rsid w:val="3F246F9C"/>
    <w:rsid w:val="41D104C5"/>
    <w:rsid w:val="47D73878"/>
    <w:rsid w:val="48AD3D98"/>
    <w:rsid w:val="4C8B4B2D"/>
    <w:rsid w:val="4D882F5E"/>
    <w:rsid w:val="4DA30E81"/>
    <w:rsid w:val="4DC7412A"/>
    <w:rsid w:val="55C8483C"/>
    <w:rsid w:val="5AC608EE"/>
    <w:rsid w:val="5B1B6F58"/>
    <w:rsid w:val="5B6642A1"/>
    <w:rsid w:val="60AB11AE"/>
    <w:rsid w:val="62F51D60"/>
    <w:rsid w:val="64246BA8"/>
    <w:rsid w:val="67D431CC"/>
    <w:rsid w:val="684518B2"/>
    <w:rsid w:val="68544B15"/>
    <w:rsid w:val="692A34EE"/>
    <w:rsid w:val="6964416C"/>
    <w:rsid w:val="6B534698"/>
    <w:rsid w:val="6CE92998"/>
    <w:rsid w:val="6E5C223B"/>
    <w:rsid w:val="759E3CE8"/>
    <w:rsid w:val="76376509"/>
    <w:rsid w:val="789B167A"/>
    <w:rsid w:val="7C2803AF"/>
    <w:rsid w:val="7C9526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kern w:val="2"/>
      <w:sz w:val="18"/>
      <w:szCs w:val="18"/>
    </w:rPr>
  </w:style>
  <w:style w:type="character" w:customStyle="1" w:styleId="7">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LFKJ</Company>
  <Pages>1</Pages>
  <Words>1202</Words>
  <Characters>1229</Characters>
  <Lines>10</Lines>
  <Paragraphs>2</Paragraphs>
  <TotalTime>130</TotalTime>
  <ScaleCrop>false</ScaleCrop>
  <LinksUpToDate>false</LinksUpToDate>
  <CharactersWithSpaces>1340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2019-12-06T08:36:00Z</dcterms:created>
  <dc:creator>Administrator</dc:creator>
  <cp:lastModifiedBy>果果</cp:lastModifiedBy>
  <cp:lastPrinted>2025-11-02T09:21:00Z</cp:lastPrinted>
  <dcterms:modified xsi:type="dcterms:W3CDTF">2026-01-27T00:51:41Z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7676BA41116C4FC59AF772E649223381</vt:lpwstr>
  </property>
  <property fmtid="{D5CDD505-2E9C-101B-9397-08002B2CF9AE}" pid="4" name="KSOTemplateDocerSaveRecord">
    <vt:lpwstr>eyJoZGlkIjoiZmJiOGZhOGEwYmRhMWViZWFlNjc4NzNkZjI2YzgyZDkiLCJ1c2VySWQiOiI2NTAwMjc1MjMifQ==</vt:lpwstr>
  </property>
</Properties>
</file>