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66A4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评分汇总表</w:t>
      </w:r>
    </w:p>
    <w:p w14:paraId="79A620D9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水利工程部分（安全生产）</w:t>
      </w:r>
    </w:p>
    <w:p w14:paraId="563B623E">
      <w:pPr>
        <w:jc w:val="center"/>
        <w:rPr>
          <w:rFonts w:hint="eastAsia" w:ascii="宋体" w:hAnsi="宋体"/>
          <w:color w:val="auto"/>
          <w:szCs w:val="21"/>
        </w:rPr>
      </w:pPr>
    </w:p>
    <w:p w14:paraId="425F541C">
      <w:pPr>
        <w:ind w:firstLine="210" w:firstLineChars="100"/>
        <w:jc w:val="left"/>
        <w:rPr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工程名称:                                                                </w:t>
      </w:r>
      <w:r>
        <w:rPr>
          <w:rFonts w:hint="eastAsia"/>
          <w:color w:val="auto"/>
          <w:szCs w:val="21"/>
        </w:rPr>
        <w:t>检查日期：　　　　　表二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ED82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42E894B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4AD48B48">
            <w:pPr>
              <w:spacing w:line="28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2CE7E0F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29A5AC24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B23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33D33E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3CDE97B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16DE2BF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11B9B95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123F7855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建筑面积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64282FF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14C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3399696E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100F7BD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673375E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0A37719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得分</w:t>
            </w:r>
          </w:p>
        </w:tc>
      </w:tr>
      <w:tr w14:paraId="57E1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527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6FE5CEEC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安  全   生  产 （30分）</w:t>
            </w:r>
          </w:p>
        </w:tc>
        <w:tc>
          <w:tcPr>
            <w:tcW w:w="992" w:type="dxa"/>
            <w:noWrap/>
            <w:vAlign w:val="center"/>
          </w:tcPr>
          <w:p w14:paraId="4685BF45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1AB787F7">
            <w:pPr>
              <w:widowControl/>
              <w:spacing w:line="280" w:lineRule="exact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危大工程未编制专项施工方案或方案未经审核、审批的；</w:t>
            </w:r>
            <w:r>
              <w:rPr>
                <w:b/>
                <w:color w:val="auto"/>
                <w:szCs w:val="21"/>
              </w:rPr>
              <w:t>超过一定规模的危</w:t>
            </w:r>
            <w:r>
              <w:rPr>
                <w:rFonts w:hint="eastAsia"/>
                <w:b/>
                <w:color w:val="auto"/>
                <w:szCs w:val="21"/>
              </w:rPr>
              <w:t>大</w:t>
            </w:r>
            <w:r>
              <w:rPr>
                <w:b/>
                <w:color w:val="auto"/>
                <w:szCs w:val="21"/>
              </w:rPr>
              <w:t>工程未按规定组织专家进行论证，或专项方案未按专家论证意见修改完善的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；外架搭设滞后于作业面或高出作业面高度不符合规范要求的；外架主节点处未设置横向水平杆的；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外架连墙件设置不符合要求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的；模板支架、泵送混凝土立管和施工电梯停层平台与脚手架连接的；架体搭设材料与方案不符的；模板支撑的种类现场与方案不符的；超过3.6m使用门式架或插销式钢管支撑的；单层支撑的；叠层搭设的；钢管支架与木支架混用或不同形式的钢管支架混用的；基坑开挖不符合设计和施工方案要求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施工过程中使用无产品标准规范的新技术、新工艺、新材料、新设备的。</w:t>
            </w:r>
          </w:p>
        </w:tc>
        <w:tc>
          <w:tcPr>
            <w:tcW w:w="709" w:type="dxa"/>
            <w:noWrap/>
            <w:vAlign w:val="center"/>
          </w:tcPr>
          <w:p w14:paraId="138DA809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1409263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350A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670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7094443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77E6B6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54A904C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防护系统无验收手续的；无架体配件进场验收记录、合格证及扣件抽样复试报告的；无模板支架验收记录的；高大模板无安全要点检查表（高大模板安全要点检查表、高大模板支架整架验收记录表、扣件拧紧抽查检查表）的；安全帽、安全网、安全带无合格证；操作平台、吊篮、防护棚无验收手续的；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 xml:space="preserve">未能提交基坑工程的第三方监测和施工监测资料的。    </w:t>
            </w:r>
            <w:r>
              <w:rPr>
                <w:rFonts w:hint="eastAsia"/>
                <w:color w:val="auto"/>
                <w:szCs w:val="21"/>
              </w:rPr>
              <w:t>每项扣2~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7FFFBAD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519775D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46A3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383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DD6FBB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6C1FA2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</w:t>
            </w:r>
          </w:p>
          <w:p w14:paraId="360A1CB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DB79B61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外架安全网封闭未做到严密整洁，有破损的；外架未做到整洁美观的；外架基础未硬化、有积水或下沉现象、底座不符的；扫地杆设置不符合规范要求的；剪刀撑设置不符合要求的；脚手板铺设不严密，封闭层数不符合要求的；外架上有杂物的；悬挑型钢、锚固、拉结不符合方案、规范要求的；悬挑层未封闭或封闭不严的；附着式提升脚手架安全装置、附着、安装、升降、作业不符合方案、规范要求的。     每项扣</w:t>
            </w:r>
            <w:r>
              <w:rPr>
                <w:rFonts w:hint="eastAsia"/>
                <w:color w:val="auto"/>
                <w:szCs w:val="21"/>
              </w:rPr>
              <w:t>3~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B6F08F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3D241AF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34E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06FF7E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0F2BDD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模板支架</w:t>
            </w:r>
          </w:p>
          <w:p w14:paraId="76A591C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102E97E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Calibri" w:hAnsi="Calibri"/>
                <w:color w:val="auto"/>
              </w:rPr>
              <w:t>模板支架纵距、横距、步距、剪刀撑间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距、水平杆、扫地杆、底座不符合专项方案要求的；立杆顶部自由端长度超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50cm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，顶托螺杆长度大于20cm</w:t>
            </w:r>
            <w:r>
              <w:rPr>
                <w:rFonts w:hint="eastAsia" w:ascii="Calibri" w:hAnsi="Calibri"/>
                <w:color w:val="auto"/>
              </w:rPr>
              <w:t>，封顶杆不符合要求的。     每处扣2分</w:t>
            </w:r>
          </w:p>
        </w:tc>
        <w:tc>
          <w:tcPr>
            <w:tcW w:w="709" w:type="dxa"/>
            <w:noWrap/>
            <w:vAlign w:val="center"/>
          </w:tcPr>
          <w:p w14:paraId="2EA07D2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CC0197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189A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97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AD63C7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69BDC63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高处作业</w:t>
            </w:r>
          </w:p>
          <w:p w14:paraId="7764B2E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634D6C9">
            <w:pPr>
              <w:widowControl/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安全帽、安全带不正确使用的，每人扣1分；临</w:t>
            </w:r>
            <w:r>
              <w:rPr>
                <w:rFonts w:hint="eastAsia"/>
                <w:color w:val="auto"/>
                <w:szCs w:val="21"/>
              </w:rPr>
              <w:t>边、洞口、通道口、楼梯口防护不严密的，每处扣1~4分；未使用标准化的防护设施的。扣</w:t>
            </w: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32E31DB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0647D5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857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492" w:hRule="atLeast"/>
          <w:jc w:val="center"/>
        </w:trPr>
        <w:tc>
          <w:tcPr>
            <w:tcW w:w="908" w:type="dxa"/>
            <w:vMerge w:val="continue"/>
            <w:noWrap/>
          </w:tcPr>
          <w:p w14:paraId="1918247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A6F46D1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基坑工程（5分）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88DBBFC">
            <w:pPr>
              <w:widowControl/>
              <w:spacing w:line="280" w:lineRule="exact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基坑（槽）支护不符合设计要求的；基坑、沟槽开挖深度范围内有地下水未采取有效的降排水措施的；基槽开挖不符合要求的；未按要求进行基坑（槽）工程监测的；基坑（槽）支撑结构的拆除方式、拆除顺序不符合专项施工方案要求的。     每项扣</w:t>
            </w:r>
            <w:r>
              <w:rPr>
                <w:rFonts w:hint="eastAsia"/>
                <w:color w:val="auto"/>
                <w:szCs w:val="21"/>
              </w:rPr>
              <w:t>3~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CAB47C4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45547C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1951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908" w:type="dxa"/>
            <w:vMerge w:val="continue"/>
            <w:noWrap/>
          </w:tcPr>
          <w:p w14:paraId="58C0CA31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4C5BE4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隧道施工（6分）</w:t>
            </w:r>
          </w:p>
        </w:tc>
        <w:tc>
          <w:tcPr>
            <w:tcW w:w="7229" w:type="dxa"/>
            <w:gridSpan w:val="4"/>
            <w:shd w:val="clear" w:color="auto" w:fill="auto"/>
            <w:noWrap/>
            <w:vAlign w:val="center"/>
          </w:tcPr>
          <w:p w14:paraId="599D6323">
            <w:pPr>
              <w:widowControl/>
              <w:spacing w:line="280" w:lineRule="exac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盾构法施工不符合规范要求的，扣6分；矿山法施工不符合规范要求的。扣6分</w:t>
            </w:r>
          </w:p>
        </w:tc>
        <w:tc>
          <w:tcPr>
            <w:tcW w:w="709" w:type="dxa"/>
            <w:noWrap/>
            <w:vAlign w:val="center"/>
          </w:tcPr>
          <w:p w14:paraId="316885A9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14CFAB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C31C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8" w:hRule="atLeast"/>
          <w:jc w:val="center"/>
        </w:trPr>
        <w:tc>
          <w:tcPr>
            <w:tcW w:w="908" w:type="dxa"/>
            <w:noWrap/>
          </w:tcPr>
          <w:p w14:paraId="3EDAB4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加分项</w:t>
            </w:r>
          </w:p>
          <w:p w14:paraId="2A22A555">
            <w:pPr>
              <w:bidi/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23AB0C4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_GB2312"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2F4CA06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新材料、新设备、新工艺、新技术、专利技术、建设工法等，</w:t>
            </w:r>
            <w:r>
              <w:rPr>
                <w:rFonts w:hint="eastAsia" w:ascii="宋体" w:hAnsi="宋体" w:cs="宋体"/>
                <w:szCs w:val="21"/>
              </w:rPr>
              <w:t>如承办市级、区级观摩工地的。</w:t>
            </w:r>
          </w:p>
          <w:p w14:paraId="24FAD370">
            <w:pPr>
              <w:widowControl/>
              <w:spacing w:line="280" w:lineRule="exac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53C70F7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84"/>
                <w:szCs w:val="84"/>
              </w:rPr>
            </w:pPr>
          </w:p>
        </w:tc>
        <w:tc>
          <w:tcPr>
            <w:tcW w:w="567" w:type="dxa"/>
            <w:noWrap/>
            <w:vAlign w:val="center"/>
          </w:tcPr>
          <w:p w14:paraId="5498CD6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84"/>
                <w:szCs w:val="84"/>
              </w:rPr>
            </w:pPr>
          </w:p>
        </w:tc>
      </w:tr>
      <w:tr w14:paraId="39081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6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29B745DA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检查人（签字）：   </w:t>
            </w:r>
          </w:p>
        </w:tc>
      </w:tr>
    </w:tbl>
    <w:p w14:paraId="1F4E415C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589AC64B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411D68AC">
      <w:pPr>
        <w:ind w:left="630" w:leftChars="300"/>
        <w:rPr>
          <w:szCs w:val="21"/>
        </w:rPr>
      </w:pPr>
      <w:r>
        <w:rPr>
          <w:rFonts w:hint="eastAsia"/>
          <w:szCs w:val="21"/>
        </w:rPr>
        <w:t>3.如有缺项时，安全生产得分=实查项目实得分值之和/实查项目应得分值之和×30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692A34EE"/>
    <w:rsid w:val="00003D48"/>
    <w:rsid w:val="00007EE9"/>
    <w:rsid w:val="00040533"/>
    <w:rsid w:val="00166BF4"/>
    <w:rsid w:val="0018036E"/>
    <w:rsid w:val="001873DD"/>
    <w:rsid w:val="001E2D9C"/>
    <w:rsid w:val="00217D46"/>
    <w:rsid w:val="00270DCA"/>
    <w:rsid w:val="002B10E8"/>
    <w:rsid w:val="002E1C30"/>
    <w:rsid w:val="0033661D"/>
    <w:rsid w:val="0034618B"/>
    <w:rsid w:val="00394FF7"/>
    <w:rsid w:val="00462E86"/>
    <w:rsid w:val="00494E46"/>
    <w:rsid w:val="004A1F9C"/>
    <w:rsid w:val="004B1064"/>
    <w:rsid w:val="004B52DD"/>
    <w:rsid w:val="004E76FB"/>
    <w:rsid w:val="00505DEF"/>
    <w:rsid w:val="00511175"/>
    <w:rsid w:val="00522C70"/>
    <w:rsid w:val="005264F9"/>
    <w:rsid w:val="00557553"/>
    <w:rsid w:val="00583A7E"/>
    <w:rsid w:val="005A2837"/>
    <w:rsid w:val="005B65DC"/>
    <w:rsid w:val="00613AD0"/>
    <w:rsid w:val="00681A94"/>
    <w:rsid w:val="006B5EC7"/>
    <w:rsid w:val="006F4AD7"/>
    <w:rsid w:val="007257EE"/>
    <w:rsid w:val="00792246"/>
    <w:rsid w:val="007B3C78"/>
    <w:rsid w:val="007D66FB"/>
    <w:rsid w:val="00802EBC"/>
    <w:rsid w:val="00807E5C"/>
    <w:rsid w:val="00822CB4"/>
    <w:rsid w:val="008644BD"/>
    <w:rsid w:val="0087522C"/>
    <w:rsid w:val="00883310"/>
    <w:rsid w:val="008A0EB5"/>
    <w:rsid w:val="008F3630"/>
    <w:rsid w:val="008F569E"/>
    <w:rsid w:val="00925994"/>
    <w:rsid w:val="00983E36"/>
    <w:rsid w:val="009A33BF"/>
    <w:rsid w:val="009F03A1"/>
    <w:rsid w:val="00A13860"/>
    <w:rsid w:val="00A27D50"/>
    <w:rsid w:val="00A3036D"/>
    <w:rsid w:val="00A52B39"/>
    <w:rsid w:val="00A85013"/>
    <w:rsid w:val="00A932E3"/>
    <w:rsid w:val="00AA5830"/>
    <w:rsid w:val="00B65B87"/>
    <w:rsid w:val="00BA1F4C"/>
    <w:rsid w:val="00BD5A20"/>
    <w:rsid w:val="00C15340"/>
    <w:rsid w:val="00C2736D"/>
    <w:rsid w:val="00C66925"/>
    <w:rsid w:val="00C82C19"/>
    <w:rsid w:val="00C90D41"/>
    <w:rsid w:val="00CB7014"/>
    <w:rsid w:val="00D45444"/>
    <w:rsid w:val="00D92D72"/>
    <w:rsid w:val="00E818A6"/>
    <w:rsid w:val="00E92BA6"/>
    <w:rsid w:val="00E944BD"/>
    <w:rsid w:val="00F34D50"/>
    <w:rsid w:val="00F454C2"/>
    <w:rsid w:val="00F94C36"/>
    <w:rsid w:val="00FA0649"/>
    <w:rsid w:val="00FD2F06"/>
    <w:rsid w:val="00FE7C3E"/>
    <w:rsid w:val="069E189C"/>
    <w:rsid w:val="0C756672"/>
    <w:rsid w:val="11C82E0A"/>
    <w:rsid w:val="155A1517"/>
    <w:rsid w:val="1ACC5BFA"/>
    <w:rsid w:val="1BD70547"/>
    <w:rsid w:val="1EB24CCD"/>
    <w:rsid w:val="1F6F0AC1"/>
    <w:rsid w:val="28D14E9C"/>
    <w:rsid w:val="2DC84567"/>
    <w:rsid w:val="2F767FB9"/>
    <w:rsid w:val="312A5354"/>
    <w:rsid w:val="34E70EF2"/>
    <w:rsid w:val="3595794A"/>
    <w:rsid w:val="36F22E6D"/>
    <w:rsid w:val="3FC02745"/>
    <w:rsid w:val="444A637A"/>
    <w:rsid w:val="44BE14A1"/>
    <w:rsid w:val="485E555A"/>
    <w:rsid w:val="4D882F5E"/>
    <w:rsid w:val="55C8483C"/>
    <w:rsid w:val="55C96EB8"/>
    <w:rsid w:val="566A004B"/>
    <w:rsid w:val="5B4F591A"/>
    <w:rsid w:val="5E0D4368"/>
    <w:rsid w:val="60AB11AE"/>
    <w:rsid w:val="63D264E7"/>
    <w:rsid w:val="645A538F"/>
    <w:rsid w:val="692A34EE"/>
    <w:rsid w:val="7BBF2936"/>
    <w:rsid w:val="7C1A52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1</Pages>
  <Words>1209</Words>
  <Characters>1235</Characters>
  <Lines>9</Lines>
  <Paragraphs>2</Paragraphs>
  <TotalTime>1</TotalTime>
  <ScaleCrop>false</ScaleCrop>
  <LinksUpToDate>false</LinksUpToDate>
  <CharactersWithSpaces>1334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2025-09-14T08:41:00Z</cp:lastPrinted>
  <dcterms:modified xsi:type="dcterms:W3CDTF">2026-01-27T00:56:29Z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E40E157E32CA45DC8EA597C9F5857FD2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